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3E27E" w14:textId="77777777" w:rsidR="00056BD6" w:rsidRPr="00A46C17" w:rsidRDefault="00056BD6" w:rsidP="00A46C17">
      <w:pPr>
        <w:spacing w:before="100" w:beforeAutospacing="1" w:after="100" w:afterAutospacing="1" w:line="240" w:lineRule="auto"/>
        <w:jc w:val="center"/>
        <w:outlineLvl w:val="0"/>
        <w:rPr>
          <w:rFonts w:ascii="Times New Roman" w:eastAsia="Times New Roman" w:hAnsi="Times New Roman" w:cs="Times New Roman"/>
          <w:b/>
          <w:bCs/>
          <w:kern w:val="36"/>
          <w:sz w:val="32"/>
          <w:szCs w:val="32"/>
          <w:lang w:eastAsia="hr-HR"/>
          <w14:ligatures w14:val="none"/>
        </w:rPr>
      </w:pPr>
      <w:r w:rsidRPr="00A46C17">
        <w:rPr>
          <w:rFonts w:ascii="Times New Roman" w:eastAsia="Times New Roman" w:hAnsi="Times New Roman" w:cs="Times New Roman"/>
          <w:b/>
          <w:bCs/>
          <w:kern w:val="36"/>
          <w:sz w:val="32"/>
          <w:szCs w:val="32"/>
          <w:lang w:eastAsia="hr-HR"/>
          <w14:ligatures w14:val="none"/>
        </w:rPr>
        <w:t>OBRAZLOŽENJE UZ PRIJEDLOG ODLUKE O VRIJEDNOSTI BODA ZA OBRAČUN KOMUNALNE NAKNADE NA PODRUČJU GRADA DELNICA</w:t>
      </w:r>
    </w:p>
    <w:p w14:paraId="4A94E81F" w14:textId="77777777" w:rsidR="00056BD6" w:rsidRPr="00A46C17" w:rsidRDefault="00056BD6" w:rsidP="00056BD6">
      <w:pPr>
        <w:spacing w:before="100" w:beforeAutospacing="1" w:after="100" w:afterAutospacing="1" w:line="240" w:lineRule="auto"/>
        <w:outlineLvl w:val="1"/>
        <w:rPr>
          <w:rFonts w:ascii="Times New Roman" w:eastAsia="Times New Roman" w:hAnsi="Times New Roman" w:cs="Times New Roman"/>
          <w:b/>
          <w:bCs/>
          <w:kern w:val="0"/>
          <w:sz w:val="28"/>
          <w:szCs w:val="28"/>
          <w:lang w:eastAsia="hr-HR"/>
          <w14:ligatures w14:val="none"/>
        </w:rPr>
      </w:pPr>
      <w:r w:rsidRPr="00A46C17">
        <w:rPr>
          <w:rFonts w:ascii="Times New Roman" w:eastAsia="Times New Roman" w:hAnsi="Times New Roman" w:cs="Times New Roman"/>
          <w:b/>
          <w:bCs/>
          <w:kern w:val="0"/>
          <w:sz w:val="28"/>
          <w:szCs w:val="28"/>
          <w:lang w:eastAsia="hr-HR"/>
          <w14:ligatures w14:val="none"/>
        </w:rPr>
        <w:t>1. Pravni temelj i polazišta za donošenje Odluke</w:t>
      </w:r>
    </w:p>
    <w:p w14:paraId="4D99B9C3" w14:textId="77777777" w:rsidR="00056BD6" w:rsidRPr="00A46C17" w:rsidRDefault="00056BD6" w:rsidP="00A46C17">
      <w:p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A46C17">
        <w:rPr>
          <w:rFonts w:ascii="Times New Roman" w:eastAsia="Times New Roman" w:hAnsi="Times New Roman" w:cs="Times New Roman"/>
          <w:kern w:val="0"/>
          <w:lang w:eastAsia="hr-HR"/>
          <w14:ligatures w14:val="none"/>
        </w:rPr>
        <w:t>Pravni temelj za donošenje Odluke o vrijednosti boda za obračun komunalne naknade sadržan je u Zakonu o komunalnom gospodarstvu („Narodne novine“, br. 68/18., 110/18., 32/20. i 145/24.), osobito u članku 98.</w:t>
      </w:r>
    </w:p>
    <w:p w14:paraId="1804E9FE" w14:textId="77777777" w:rsidR="00A46C17" w:rsidRPr="00A46C17" w:rsidRDefault="00056BD6" w:rsidP="00A46C17">
      <w:pPr>
        <w:spacing w:before="100" w:beforeAutospacing="1" w:after="100" w:afterAutospacing="1" w:line="240" w:lineRule="auto"/>
        <w:jc w:val="both"/>
        <w:rPr>
          <w:rFonts w:ascii="Times New Roman" w:eastAsia="Times New Roman" w:hAnsi="Times New Roman" w:cs="Times New Roman"/>
          <w:kern w:val="0"/>
          <w:sz w:val="20"/>
          <w:szCs w:val="20"/>
          <w:lang w:eastAsia="hr-HR"/>
          <w14:ligatures w14:val="none"/>
        </w:rPr>
      </w:pPr>
      <w:r w:rsidRPr="00A46C17">
        <w:rPr>
          <w:rFonts w:ascii="Times New Roman" w:eastAsia="Times New Roman" w:hAnsi="Times New Roman" w:cs="Times New Roman"/>
          <w:kern w:val="0"/>
          <w:lang w:eastAsia="hr-HR"/>
          <w14:ligatures w14:val="none"/>
        </w:rPr>
        <w:t>Sukladno navedenoj odredbi, predstavničko tijelo jedinice lokalne samouprave do kraja studenoga tekuće godine donosi odluku kojom određuje vrijednost boda komunalne naknade (B), koja se primjenjuje od 1. siječnja iduće godine. Polazište za određivanje vrijednosti boda jest procjena troškova održavanja komunalne infrastrukture iz programa održavanja komunalne infrastrukture, uzimajući u obzir i druge predvidive i raspoložive izvore financiranja.</w:t>
      </w:r>
    </w:p>
    <w:p w14:paraId="2D0071C0" w14:textId="11F71A46" w:rsidR="00056BD6" w:rsidRPr="00A46C17" w:rsidRDefault="00056BD6" w:rsidP="00A46C17">
      <w:p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A46C17">
        <w:rPr>
          <w:rFonts w:ascii="Times New Roman" w:eastAsia="Times New Roman" w:hAnsi="Times New Roman" w:cs="Times New Roman"/>
          <w:kern w:val="0"/>
          <w:lang w:eastAsia="hr-HR"/>
          <w14:ligatures w14:val="none"/>
        </w:rPr>
        <w:t>Održavanje komunalne infrastrukture obuhvaća, među ostalim, održavanje nerazvrstanih cesta (uključujući i zimsku službu), javnih površina, javnih zelenih površina, građevina i uređaja javne namjene te javne rasvjete. Navedene djelatnosti nužne su za sigurnost građana, funkcionalnost naselja i očuvanje komunalnog standarda na području Grada Delnica.</w:t>
      </w:r>
    </w:p>
    <w:p w14:paraId="0518AB05" w14:textId="77777777" w:rsidR="00056BD6" w:rsidRPr="00A46C17" w:rsidRDefault="00056BD6" w:rsidP="00056BD6">
      <w:pPr>
        <w:spacing w:before="100" w:beforeAutospacing="1" w:after="100" w:afterAutospacing="1" w:line="240" w:lineRule="auto"/>
        <w:outlineLvl w:val="1"/>
        <w:rPr>
          <w:rFonts w:ascii="Times New Roman" w:eastAsia="Times New Roman" w:hAnsi="Times New Roman" w:cs="Times New Roman"/>
          <w:b/>
          <w:bCs/>
          <w:kern w:val="0"/>
          <w:sz w:val="28"/>
          <w:szCs w:val="28"/>
          <w:lang w:eastAsia="hr-HR"/>
          <w14:ligatures w14:val="none"/>
        </w:rPr>
      </w:pPr>
      <w:r w:rsidRPr="00A46C17">
        <w:rPr>
          <w:rFonts w:ascii="Times New Roman" w:eastAsia="Times New Roman" w:hAnsi="Times New Roman" w:cs="Times New Roman"/>
          <w:b/>
          <w:bCs/>
          <w:kern w:val="0"/>
          <w:sz w:val="28"/>
          <w:szCs w:val="28"/>
          <w:lang w:eastAsia="hr-HR"/>
          <w14:ligatures w14:val="none"/>
        </w:rPr>
        <w:t>2. Razlozi za povećanje vrijednosti boda</w:t>
      </w:r>
    </w:p>
    <w:p w14:paraId="1E65913F" w14:textId="58CEF043" w:rsidR="00056BD6" w:rsidRPr="000A0FAD" w:rsidRDefault="00056BD6" w:rsidP="00C44ED2">
      <w:p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0A0FAD">
        <w:rPr>
          <w:rFonts w:ascii="Times New Roman" w:eastAsia="Times New Roman" w:hAnsi="Times New Roman" w:cs="Times New Roman"/>
          <w:kern w:val="0"/>
          <w:lang w:eastAsia="hr-HR"/>
          <w14:ligatures w14:val="none"/>
        </w:rPr>
        <w:t>Postojeća vrijednost boda za obračun komunalne naknade iznosi 0,9556 eura po četvornom metru korisne površine godišnj</w:t>
      </w:r>
      <w:r w:rsidR="0080297E" w:rsidRPr="000A0FAD">
        <w:rPr>
          <w:rFonts w:ascii="Times New Roman" w:eastAsia="Times New Roman" w:hAnsi="Times New Roman" w:cs="Times New Roman"/>
          <w:kern w:val="0"/>
          <w:lang w:eastAsia="hr-HR"/>
          <w14:ligatures w14:val="none"/>
        </w:rPr>
        <w:t>e, vrijednost odgovara tadašnjem iznosu od 7,20 kuna prema fiksnom tečaju konverzije</w:t>
      </w:r>
      <w:r w:rsidRPr="000A0FAD">
        <w:rPr>
          <w:rFonts w:ascii="Times New Roman" w:eastAsia="Times New Roman" w:hAnsi="Times New Roman" w:cs="Times New Roman"/>
          <w:kern w:val="0"/>
          <w:lang w:eastAsia="hr-HR"/>
          <w14:ligatures w14:val="none"/>
        </w:rPr>
        <w:t xml:space="preserve">. Navedena </w:t>
      </w:r>
      <w:r w:rsidR="0080297E" w:rsidRPr="000A0FAD">
        <w:rPr>
          <w:rFonts w:ascii="Times New Roman" w:eastAsia="Times New Roman" w:hAnsi="Times New Roman" w:cs="Times New Roman"/>
          <w:kern w:val="0"/>
          <w:lang w:eastAsia="hr-HR"/>
          <w14:ligatures w14:val="none"/>
        </w:rPr>
        <w:t>vr</w:t>
      </w:r>
      <w:r w:rsidRPr="000A0FAD">
        <w:rPr>
          <w:rFonts w:ascii="Times New Roman" w:eastAsia="Times New Roman" w:hAnsi="Times New Roman" w:cs="Times New Roman"/>
          <w:kern w:val="0"/>
          <w:lang w:eastAsia="hr-HR"/>
          <w14:ligatures w14:val="none"/>
        </w:rPr>
        <w:t>i</w:t>
      </w:r>
      <w:r w:rsidR="0080297E" w:rsidRPr="000A0FAD">
        <w:rPr>
          <w:rFonts w:ascii="Times New Roman" w:eastAsia="Times New Roman" w:hAnsi="Times New Roman" w:cs="Times New Roman"/>
          <w:kern w:val="0"/>
          <w:lang w:eastAsia="hr-HR"/>
          <w14:ligatures w14:val="none"/>
        </w:rPr>
        <w:t>jednost boda</w:t>
      </w:r>
      <w:r w:rsidRPr="000A0FAD">
        <w:rPr>
          <w:rFonts w:ascii="Times New Roman" w:eastAsia="Times New Roman" w:hAnsi="Times New Roman" w:cs="Times New Roman"/>
          <w:kern w:val="0"/>
          <w:lang w:eastAsia="hr-HR"/>
          <w14:ligatures w14:val="none"/>
        </w:rPr>
        <w:t xml:space="preserve"> primjenjuje se od 1. siječnja 2019. godine.</w:t>
      </w:r>
    </w:p>
    <w:p w14:paraId="3981DABB" w14:textId="07DF0FA2" w:rsidR="00056BD6" w:rsidRPr="000A0FAD" w:rsidRDefault="00056BD6" w:rsidP="00C44ED2">
      <w:p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0A0FAD">
        <w:rPr>
          <w:rFonts w:ascii="Times New Roman" w:eastAsia="Times New Roman" w:hAnsi="Times New Roman" w:cs="Times New Roman"/>
          <w:kern w:val="0"/>
          <w:lang w:eastAsia="hr-HR"/>
          <w14:ligatures w14:val="none"/>
        </w:rPr>
        <w:t>U razdoblju od uvođenja postojeće vrijednosti boda promijenili su se troškovi rada, materijala, energenata, usluga i izvođenja radova. Njihov rast utječe na troškove redovitog održavanja, sanacije nerazvrstanih cesta</w:t>
      </w:r>
      <w:r w:rsidR="009479E6" w:rsidRPr="000A0FAD">
        <w:rPr>
          <w:rFonts w:ascii="Times New Roman" w:eastAsia="Times New Roman" w:hAnsi="Times New Roman" w:cs="Times New Roman"/>
          <w:kern w:val="0"/>
          <w:lang w:eastAsia="hr-HR"/>
          <w14:ligatures w14:val="none"/>
        </w:rPr>
        <w:t xml:space="preserve"> uključujući i zimsko održavanje, </w:t>
      </w:r>
      <w:r w:rsidRPr="000A0FAD">
        <w:rPr>
          <w:rFonts w:ascii="Times New Roman" w:eastAsia="Times New Roman" w:hAnsi="Times New Roman" w:cs="Times New Roman"/>
          <w:kern w:val="0"/>
          <w:lang w:eastAsia="hr-HR"/>
          <w14:ligatures w14:val="none"/>
        </w:rPr>
        <w:t xml:space="preserve"> održavanja javnih i zelenih površina te drugih dijelova komunalne infrastrukture.</w:t>
      </w:r>
    </w:p>
    <w:p w14:paraId="45B0FE4B" w14:textId="77777777" w:rsidR="00056BD6" w:rsidRPr="000A0FAD" w:rsidRDefault="00056BD6" w:rsidP="00C44ED2">
      <w:p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0A0FAD">
        <w:rPr>
          <w:rFonts w:ascii="Times New Roman" w:eastAsia="Times New Roman" w:hAnsi="Times New Roman" w:cs="Times New Roman"/>
          <w:kern w:val="0"/>
          <w:lang w:eastAsia="hr-HR"/>
          <w14:ligatures w14:val="none"/>
        </w:rPr>
        <w:t>S obzirom na opseg infrastrukture na području Grada Delnica, potrebe njezina redovitog održavanja i nužnost pravodobnog otklanjanja oštećenja, potrebno je razmotriti povećanje prihoda namijenjenih financiranju komunalnih djelatnosti.</w:t>
      </w:r>
    </w:p>
    <w:p w14:paraId="0E927093" w14:textId="544A6ACE" w:rsidR="009479E6" w:rsidRPr="00A806E8" w:rsidRDefault="00056BD6" w:rsidP="009479E6">
      <w:pPr>
        <w:shd w:val="clear" w:color="auto" w:fill="FFFFFF"/>
        <w:jc w:val="both"/>
        <w:rPr>
          <w:rFonts w:ascii="Times New Roman" w:eastAsia="Times New Roman" w:hAnsi="Times New Roman" w:cs="Times New Roman"/>
          <w:kern w:val="0"/>
          <w:sz w:val="21"/>
          <w:szCs w:val="21"/>
          <w:lang w:eastAsia="hr-HR"/>
          <w14:ligatures w14:val="none"/>
        </w:rPr>
      </w:pPr>
      <w:r w:rsidRPr="000A0FAD">
        <w:rPr>
          <w:rFonts w:ascii="Times New Roman" w:eastAsia="Times New Roman" w:hAnsi="Times New Roman" w:cs="Times New Roman"/>
          <w:kern w:val="0"/>
          <w:lang w:eastAsia="hr-HR"/>
          <w14:ligatures w14:val="none"/>
        </w:rPr>
        <w:t>Predloženo povećanje vrijednosti boda ima za cilj pridonijeti stabilnijem financiranju održavanja komunalne infrastrukture, smanjiti pritisak na druge prihode gradskog proračuna i omogućiti odgovornije planiranje komunalnih aktivnosti. Pritom se ne pretpostavlja da će se svi troškovi komunalnog sustava financirati isključivo iz komunalne naknade, budući da se održavanje i gra</w:t>
      </w:r>
      <w:r w:rsidR="009479E6" w:rsidRPr="000A0FAD">
        <w:rPr>
          <w:rFonts w:ascii="Times New Roman" w:eastAsia="Times New Roman" w:hAnsi="Times New Roman" w:cs="Times New Roman"/>
          <w:kern w:val="0"/>
          <w:lang w:eastAsia="hr-HR"/>
          <w14:ligatures w14:val="none"/>
        </w:rPr>
        <w:t>đenje</w:t>
      </w:r>
      <w:r w:rsidRPr="000A0FAD">
        <w:rPr>
          <w:rFonts w:ascii="Times New Roman" w:eastAsia="Times New Roman" w:hAnsi="Times New Roman" w:cs="Times New Roman"/>
          <w:kern w:val="0"/>
          <w:lang w:eastAsia="hr-HR"/>
          <w14:ligatures w14:val="none"/>
        </w:rPr>
        <w:t xml:space="preserve"> komunalne infrastrukture financiraju iz više zakonom dopuštenih izvora</w:t>
      </w:r>
      <w:r w:rsidR="009479E6" w:rsidRPr="000A0FAD">
        <w:rPr>
          <w:rFonts w:ascii="Times New Roman" w:eastAsia="Times New Roman" w:hAnsi="Times New Roman" w:cs="Times New Roman"/>
          <w:kern w:val="0"/>
          <w:sz w:val="21"/>
          <w:szCs w:val="21"/>
          <w:lang w:eastAsia="hr-HR"/>
          <w14:ligatures w14:val="none"/>
        </w:rPr>
        <w:t xml:space="preserve"> (</w:t>
      </w:r>
      <w:r w:rsidR="009479E6" w:rsidRPr="00A806E8">
        <w:rPr>
          <w:rFonts w:ascii="Times New Roman" w:eastAsia="Times New Roman" w:hAnsi="Times New Roman" w:cs="Times New Roman"/>
          <w:kern w:val="0"/>
          <w:sz w:val="21"/>
          <w:szCs w:val="21"/>
          <w:lang w:eastAsia="hr-HR"/>
          <w14:ligatures w14:val="none"/>
        </w:rPr>
        <w:t>komunalnog doprinosa, komunalne naknade, naknade za koncesiju, proračuna jedinice lokalne samouprave, fondova Europske unije, ugovora, naknada i drugih izvora propisanih posebnim zakonom , donacija).</w:t>
      </w:r>
    </w:p>
    <w:p w14:paraId="693123C3" w14:textId="2DC27C9B" w:rsidR="00056BD6" w:rsidRPr="000A0FAD" w:rsidRDefault="009479E6" w:rsidP="009479E6">
      <w:pPr>
        <w:spacing w:before="100" w:beforeAutospacing="1" w:after="100" w:afterAutospacing="1" w:line="240" w:lineRule="auto"/>
        <w:jc w:val="both"/>
        <w:rPr>
          <w:rFonts w:ascii="Times New Roman" w:eastAsia="Times New Roman" w:hAnsi="Times New Roman" w:cs="Times New Roman"/>
          <w:b/>
          <w:bCs/>
          <w:kern w:val="0"/>
          <w:sz w:val="28"/>
          <w:szCs w:val="28"/>
          <w:lang w:eastAsia="hr-HR"/>
          <w14:ligatures w14:val="none"/>
        </w:rPr>
      </w:pPr>
      <w:r w:rsidRPr="000A0FAD">
        <w:rPr>
          <w:rFonts w:ascii="Times New Roman" w:eastAsia="Times New Roman" w:hAnsi="Times New Roman" w:cs="Times New Roman"/>
          <w:b/>
          <w:bCs/>
          <w:kern w:val="0"/>
          <w:sz w:val="28"/>
          <w:szCs w:val="28"/>
          <w:lang w:eastAsia="hr-HR"/>
          <w14:ligatures w14:val="none"/>
        </w:rPr>
        <w:t xml:space="preserve"> </w:t>
      </w:r>
      <w:r w:rsidR="00056BD6" w:rsidRPr="000A0FAD">
        <w:rPr>
          <w:rFonts w:ascii="Times New Roman" w:eastAsia="Times New Roman" w:hAnsi="Times New Roman" w:cs="Times New Roman"/>
          <w:b/>
          <w:bCs/>
          <w:kern w:val="0"/>
          <w:sz w:val="28"/>
          <w:szCs w:val="28"/>
          <w:lang w:eastAsia="hr-HR"/>
          <w14:ligatures w14:val="none"/>
        </w:rPr>
        <w:t>3. Financijski pokazatelji za 2025. godinu</w:t>
      </w:r>
    </w:p>
    <w:p w14:paraId="1D35CFC0" w14:textId="77777777" w:rsidR="00056BD6" w:rsidRPr="00A806E8" w:rsidRDefault="00056BD6" w:rsidP="00A806E8">
      <w:p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A806E8">
        <w:rPr>
          <w:rFonts w:ascii="Times New Roman" w:eastAsia="Times New Roman" w:hAnsi="Times New Roman" w:cs="Times New Roman"/>
          <w:kern w:val="0"/>
          <w:lang w:eastAsia="hr-HR"/>
          <w14:ligatures w14:val="none"/>
        </w:rPr>
        <w:lastRenderedPageBreak/>
        <w:t>Prema podacima iz izvršenja proračuna za 2025. godinu, ukupni rashodi Upravnog odjela za komunalni sustav, imovinu, promet i zaštitu okoliša iznosili su 3.431.974,38 eura. Ostvareni prihodi od komunalne naknade iznosili su 1.022.622,03 eura.</w:t>
      </w:r>
    </w:p>
    <w:p w14:paraId="346FBF69" w14:textId="77777777" w:rsidR="00056BD6" w:rsidRPr="00A806E8" w:rsidRDefault="00056BD6" w:rsidP="00A806E8">
      <w:p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A806E8">
        <w:rPr>
          <w:rFonts w:ascii="Times New Roman" w:eastAsia="Times New Roman" w:hAnsi="Times New Roman" w:cs="Times New Roman"/>
          <w:kern w:val="0"/>
          <w:lang w:eastAsia="hr-HR"/>
          <w14:ligatures w14:val="none"/>
        </w:rPr>
        <w:t>Za ocjenu opravdanosti predloženog povećanja posebno je važno promatrati rashode održavanja komunalne infrastrukture i izvore kojima su ti rashodi stvarno financirani.</w:t>
      </w:r>
    </w:p>
    <w:p w14:paraId="3E0EDDA3" w14:textId="77777777" w:rsidR="00056BD6" w:rsidRPr="00A806E8" w:rsidRDefault="00056BD6" w:rsidP="00056BD6">
      <w:pPr>
        <w:spacing w:before="100" w:beforeAutospacing="1" w:after="100" w:afterAutospacing="1" w:line="240" w:lineRule="auto"/>
        <w:rPr>
          <w:rFonts w:ascii="Times New Roman" w:eastAsia="Times New Roman" w:hAnsi="Times New Roman" w:cs="Times New Roman"/>
          <w:kern w:val="0"/>
          <w:lang w:eastAsia="hr-HR"/>
          <w14:ligatures w14:val="none"/>
        </w:rPr>
      </w:pPr>
      <w:r w:rsidRPr="00A806E8">
        <w:rPr>
          <w:rFonts w:ascii="Times New Roman" w:eastAsia="Times New Roman" w:hAnsi="Times New Roman" w:cs="Times New Roman"/>
          <w:kern w:val="0"/>
          <w:lang w:eastAsia="hr-HR"/>
          <w14:ligatures w14:val="none"/>
        </w:rPr>
        <w:t>U 2025. godini rashodi za održavanje komunalne infrastrukture iznosili su 1.251.792,67 eura, a financirani su kako slijedi: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67"/>
        <w:gridCol w:w="1515"/>
      </w:tblGrid>
      <w:tr w:rsidR="00056BD6" w:rsidRPr="00A806E8" w14:paraId="12E29E84" w14:textId="77777777">
        <w:trPr>
          <w:tblCellSpacing w:w="15" w:type="dxa"/>
        </w:trPr>
        <w:tc>
          <w:tcPr>
            <w:tcW w:w="0" w:type="auto"/>
            <w:vAlign w:val="center"/>
            <w:hideMark/>
          </w:tcPr>
          <w:p w14:paraId="5B597C6C" w14:textId="77777777" w:rsidR="00056BD6" w:rsidRPr="00A806E8" w:rsidRDefault="00056BD6" w:rsidP="00056BD6">
            <w:pPr>
              <w:spacing w:after="0" w:line="240" w:lineRule="auto"/>
              <w:jc w:val="center"/>
              <w:rPr>
                <w:rFonts w:ascii="Times New Roman" w:eastAsia="Times New Roman" w:hAnsi="Times New Roman" w:cs="Times New Roman"/>
                <w:b/>
                <w:bCs/>
                <w:kern w:val="0"/>
                <w:lang w:eastAsia="hr-HR"/>
                <w14:ligatures w14:val="none"/>
              </w:rPr>
            </w:pPr>
            <w:r w:rsidRPr="00A806E8">
              <w:rPr>
                <w:rFonts w:ascii="Times New Roman" w:eastAsia="Times New Roman" w:hAnsi="Times New Roman" w:cs="Times New Roman"/>
                <w:b/>
                <w:bCs/>
                <w:kern w:val="0"/>
                <w:lang w:eastAsia="hr-HR"/>
                <w14:ligatures w14:val="none"/>
              </w:rPr>
              <w:t>Pokazatelj</w:t>
            </w:r>
          </w:p>
        </w:tc>
        <w:tc>
          <w:tcPr>
            <w:tcW w:w="0" w:type="auto"/>
            <w:vAlign w:val="center"/>
            <w:hideMark/>
          </w:tcPr>
          <w:p w14:paraId="13071CA5" w14:textId="77777777" w:rsidR="00056BD6" w:rsidRPr="00A806E8" w:rsidRDefault="00056BD6" w:rsidP="00056BD6">
            <w:pPr>
              <w:spacing w:after="0" w:line="240" w:lineRule="auto"/>
              <w:jc w:val="center"/>
              <w:rPr>
                <w:rFonts w:ascii="Times New Roman" w:eastAsia="Times New Roman" w:hAnsi="Times New Roman" w:cs="Times New Roman"/>
                <w:b/>
                <w:bCs/>
                <w:kern w:val="0"/>
                <w:lang w:eastAsia="hr-HR"/>
                <w14:ligatures w14:val="none"/>
              </w:rPr>
            </w:pPr>
            <w:r w:rsidRPr="00A806E8">
              <w:rPr>
                <w:rFonts w:ascii="Times New Roman" w:eastAsia="Times New Roman" w:hAnsi="Times New Roman" w:cs="Times New Roman"/>
                <w:b/>
                <w:bCs/>
                <w:kern w:val="0"/>
                <w:lang w:eastAsia="hr-HR"/>
                <w14:ligatures w14:val="none"/>
              </w:rPr>
              <w:t>Iznos</w:t>
            </w:r>
          </w:p>
        </w:tc>
      </w:tr>
      <w:tr w:rsidR="00056BD6" w:rsidRPr="00A806E8" w14:paraId="13EC207B" w14:textId="77777777">
        <w:trPr>
          <w:tblCellSpacing w:w="15" w:type="dxa"/>
        </w:trPr>
        <w:tc>
          <w:tcPr>
            <w:tcW w:w="0" w:type="auto"/>
            <w:vAlign w:val="center"/>
            <w:hideMark/>
          </w:tcPr>
          <w:p w14:paraId="1AE7E6C0" w14:textId="77777777" w:rsidR="00056BD6" w:rsidRPr="00A806E8" w:rsidRDefault="00056BD6" w:rsidP="00056BD6">
            <w:pPr>
              <w:spacing w:after="0" w:line="240" w:lineRule="auto"/>
              <w:rPr>
                <w:rFonts w:ascii="Times New Roman" w:eastAsia="Times New Roman" w:hAnsi="Times New Roman" w:cs="Times New Roman"/>
                <w:kern w:val="0"/>
                <w:lang w:eastAsia="hr-HR"/>
                <w14:ligatures w14:val="none"/>
              </w:rPr>
            </w:pPr>
            <w:r w:rsidRPr="00A806E8">
              <w:rPr>
                <w:rFonts w:ascii="Times New Roman" w:eastAsia="Times New Roman" w:hAnsi="Times New Roman" w:cs="Times New Roman"/>
                <w:kern w:val="0"/>
                <w:lang w:eastAsia="hr-HR"/>
                <w14:ligatures w14:val="none"/>
              </w:rPr>
              <w:t>Ukupni rashodi održavanja komunalne infrastrukture</w:t>
            </w:r>
          </w:p>
        </w:tc>
        <w:tc>
          <w:tcPr>
            <w:tcW w:w="0" w:type="auto"/>
            <w:vAlign w:val="center"/>
            <w:hideMark/>
          </w:tcPr>
          <w:p w14:paraId="4D8C2173" w14:textId="77777777" w:rsidR="00056BD6" w:rsidRPr="00A806E8" w:rsidRDefault="00056BD6" w:rsidP="00056BD6">
            <w:pPr>
              <w:spacing w:after="0" w:line="240" w:lineRule="auto"/>
              <w:rPr>
                <w:rFonts w:ascii="Times New Roman" w:eastAsia="Times New Roman" w:hAnsi="Times New Roman" w:cs="Times New Roman"/>
                <w:kern w:val="0"/>
                <w:lang w:eastAsia="hr-HR"/>
                <w14:ligatures w14:val="none"/>
              </w:rPr>
            </w:pPr>
            <w:r w:rsidRPr="00A806E8">
              <w:rPr>
                <w:rFonts w:ascii="Times New Roman" w:eastAsia="Times New Roman" w:hAnsi="Times New Roman" w:cs="Times New Roman"/>
                <w:kern w:val="0"/>
                <w:lang w:eastAsia="hr-HR"/>
                <w14:ligatures w14:val="none"/>
              </w:rPr>
              <w:t>1.251.792,67 €</w:t>
            </w:r>
          </w:p>
        </w:tc>
      </w:tr>
      <w:tr w:rsidR="00056BD6" w:rsidRPr="00A806E8" w14:paraId="4AB4FE33" w14:textId="77777777">
        <w:trPr>
          <w:tblCellSpacing w:w="15" w:type="dxa"/>
        </w:trPr>
        <w:tc>
          <w:tcPr>
            <w:tcW w:w="0" w:type="auto"/>
            <w:vAlign w:val="center"/>
            <w:hideMark/>
          </w:tcPr>
          <w:p w14:paraId="64A6D125" w14:textId="77777777" w:rsidR="00056BD6" w:rsidRPr="00A806E8" w:rsidRDefault="00056BD6" w:rsidP="00056BD6">
            <w:pPr>
              <w:spacing w:after="0" w:line="240" w:lineRule="auto"/>
              <w:rPr>
                <w:rFonts w:ascii="Times New Roman" w:eastAsia="Times New Roman" w:hAnsi="Times New Roman" w:cs="Times New Roman"/>
                <w:kern w:val="0"/>
                <w:lang w:eastAsia="hr-HR"/>
                <w14:ligatures w14:val="none"/>
              </w:rPr>
            </w:pPr>
            <w:r w:rsidRPr="00A806E8">
              <w:rPr>
                <w:rFonts w:ascii="Times New Roman" w:eastAsia="Times New Roman" w:hAnsi="Times New Roman" w:cs="Times New Roman"/>
                <w:kern w:val="0"/>
                <w:lang w:eastAsia="hr-HR"/>
                <w14:ligatures w14:val="none"/>
              </w:rPr>
              <w:t>Financiranje iz komunalne naknade</w:t>
            </w:r>
          </w:p>
        </w:tc>
        <w:tc>
          <w:tcPr>
            <w:tcW w:w="0" w:type="auto"/>
            <w:vAlign w:val="center"/>
            <w:hideMark/>
          </w:tcPr>
          <w:p w14:paraId="6EB256B3" w14:textId="77777777" w:rsidR="00056BD6" w:rsidRPr="00A806E8" w:rsidRDefault="00056BD6" w:rsidP="00056BD6">
            <w:pPr>
              <w:spacing w:after="0" w:line="240" w:lineRule="auto"/>
              <w:rPr>
                <w:rFonts w:ascii="Times New Roman" w:eastAsia="Times New Roman" w:hAnsi="Times New Roman" w:cs="Times New Roman"/>
                <w:kern w:val="0"/>
                <w:lang w:eastAsia="hr-HR"/>
                <w14:ligatures w14:val="none"/>
              </w:rPr>
            </w:pPr>
            <w:r w:rsidRPr="00A806E8">
              <w:rPr>
                <w:rFonts w:ascii="Times New Roman" w:eastAsia="Times New Roman" w:hAnsi="Times New Roman" w:cs="Times New Roman"/>
                <w:kern w:val="0"/>
                <w:lang w:eastAsia="hr-HR"/>
                <w14:ligatures w14:val="none"/>
              </w:rPr>
              <w:t>942.460,15 €</w:t>
            </w:r>
          </w:p>
        </w:tc>
      </w:tr>
      <w:tr w:rsidR="00056BD6" w:rsidRPr="00A806E8" w14:paraId="615C8024" w14:textId="77777777">
        <w:trPr>
          <w:tblCellSpacing w:w="15" w:type="dxa"/>
        </w:trPr>
        <w:tc>
          <w:tcPr>
            <w:tcW w:w="0" w:type="auto"/>
            <w:vAlign w:val="center"/>
            <w:hideMark/>
          </w:tcPr>
          <w:p w14:paraId="1C88B708" w14:textId="77777777" w:rsidR="00056BD6" w:rsidRPr="00A806E8" w:rsidRDefault="00056BD6" w:rsidP="00056BD6">
            <w:pPr>
              <w:spacing w:after="0" w:line="240" w:lineRule="auto"/>
              <w:rPr>
                <w:rFonts w:ascii="Times New Roman" w:eastAsia="Times New Roman" w:hAnsi="Times New Roman" w:cs="Times New Roman"/>
                <w:kern w:val="0"/>
                <w:lang w:eastAsia="hr-HR"/>
                <w14:ligatures w14:val="none"/>
              </w:rPr>
            </w:pPr>
            <w:r w:rsidRPr="00A806E8">
              <w:rPr>
                <w:rFonts w:ascii="Times New Roman" w:eastAsia="Times New Roman" w:hAnsi="Times New Roman" w:cs="Times New Roman"/>
                <w:kern w:val="0"/>
                <w:lang w:eastAsia="hr-HR"/>
                <w14:ligatures w14:val="none"/>
              </w:rPr>
              <w:t>Financiranje iz drugih izvora</w:t>
            </w:r>
          </w:p>
        </w:tc>
        <w:tc>
          <w:tcPr>
            <w:tcW w:w="0" w:type="auto"/>
            <w:vAlign w:val="center"/>
            <w:hideMark/>
          </w:tcPr>
          <w:p w14:paraId="43E272D7" w14:textId="77777777" w:rsidR="00056BD6" w:rsidRPr="00A806E8" w:rsidRDefault="00056BD6" w:rsidP="00056BD6">
            <w:pPr>
              <w:spacing w:after="0" w:line="240" w:lineRule="auto"/>
              <w:rPr>
                <w:rFonts w:ascii="Times New Roman" w:eastAsia="Times New Roman" w:hAnsi="Times New Roman" w:cs="Times New Roman"/>
                <w:kern w:val="0"/>
                <w:lang w:eastAsia="hr-HR"/>
                <w14:ligatures w14:val="none"/>
              </w:rPr>
            </w:pPr>
            <w:r w:rsidRPr="00A806E8">
              <w:rPr>
                <w:rFonts w:ascii="Times New Roman" w:eastAsia="Times New Roman" w:hAnsi="Times New Roman" w:cs="Times New Roman"/>
                <w:kern w:val="0"/>
                <w:lang w:eastAsia="hr-HR"/>
                <w14:ligatures w14:val="none"/>
              </w:rPr>
              <w:t>309.332,52 €</w:t>
            </w:r>
          </w:p>
        </w:tc>
      </w:tr>
    </w:tbl>
    <w:p w14:paraId="34ACBD58" w14:textId="77777777" w:rsidR="00056BD6" w:rsidRPr="00A806E8" w:rsidRDefault="00056BD6" w:rsidP="00A806E8">
      <w:p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A806E8">
        <w:rPr>
          <w:rFonts w:ascii="Times New Roman" w:eastAsia="Times New Roman" w:hAnsi="Times New Roman" w:cs="Times New Roman"/>
          <w:kern w:val="0"/>
          <w:lang w:eastAsia="hr-HR"/>
          <w14:ligatures w14:val="none"/>
        </w:rPr>
        <w:t>Iz navedenih podataka proizlazi da su se rashodi održavanja komunalne infrastrukture u iznosu od 309.332,52 eura financirali iz drugih izvora. To pokazuje da ostvarena sredstva komunalne naknade nisu bila jedini izvor financiranja održavanja te da je za osiguravanje izvršenja programa bilo potrebno koristiti i druga raspoloživa sredstva.</w:t>
      </w:r>
    </w:p>
    <w:p w14:paraId="35F1187A" w14:textId="2B09DF9F" w:rsidR="00A806E8" w:rsidRDefault="00056BD6" w:rsidP="00A806E8">
      <w:pPr>
        <w:shd w:val="clear" w:color="auto" w:fill="FFFFFF"/>
        <w:jc w:val="both"/>
        <w:rPr>
          <w:rFonts w:ascii="Times New Roman" w:eastAsia="Times New Roman" w:hAnsi="Times New Roman" w:cs="Times New Roman"/>
          <w:kern w:val="0"/>
          <w:sz w:val="20"/>
          <w:szCs w:val="20"/>
          <w:lang w:eastAsia="hr-HR"/>
          <w14:ligatures w14:val="none"/>
        </w:rPr>
      </w:pPr>
      <w:r w:rsidRPr="00A806E8">
        <w:rPr>
          <w:rFonts w:ascii="Times New Roman" w:eastAsia="Times New Roman" w:hAnsi="Times New Roman" w:cs="Times New Roman"/>
          <w:kern w:val="0"/>
          <w:lang w:eastAsia="hr-HR"/>
          <w14:ligatures w14:val="none"/>
        </w:rPr>
        <w:t>Ukupni prihodi od komunalne naknade iznosili su 1.022.622,03 eura, ali se taj iznos ne može poistovjetiti s iznosom koji je stvarno utrošen za održavanje komunalne infrastrukture jer se sredstva komunalne naknade, u skladu s propisima i odgovarajućim programskim aktima, mogu koristiti i za druge dopuštene namjene povezane s komunalnom infrastrukturom</w:t>
      </w:r>
      <w:r w:rsidR="00C44ED2" w:rsidRPr="00A806E8">
        <w:rPr>
          <w:rFonts w:ascii="Times New Roman" w:eastAsia="Times New Roman" w:hAnsi="Times New Roman" w:cs="Times New Roman"/>
          <w:kern w:val="0"/>
          <w:lang w:eastAsia="hr-HR"/>
          <w14:ligatures w14:val="none"/>
        </w:rPr>
        <w:t xml:space="preserve"> (</w:t>
      </w:r>
      <w:r w:rsidR="00C44ED2" w:rsidRPr="00A806E8">
        <w:rPr>
          <w:rFonts w:ascii="Times New Roman" w:eastAsia="Times New Roman" w:hAnsi="Times New Roman" w:cs="Times New Roman"/>
          <w:kern w:val="0"/>
          <w:sz w:val="20"/>
          <w:szCs w:val="20"/>
          <w:lang w:eastAsia="hr-HR"/>
          <w14:ligatures w14:val="none"/>
        </w:rPr>
        <w:t>gra</w:t>
      </w:r>
      <w:r w:rsidR="000A0FAD" w:rsidRPr="00A806E8">
        <w:rPr>
          <w:rFonts w:ascii="Times New Roman" w:eastAsia="Times New Roman" w:hAnsi="Times New Roman" w:cs="Times New Roman"/>
          <w:kern w:val="0"/>
          <w:sz w:val="20"/>
          <w:szCs w:val="20"/>
          <w:lang w:eastAsia="hr-HR"/>
          <w14:ligatures w14:val="none"/>
        </w:rPr>
        <w:t>đenje komunalne infrastrukture</w:t>
      </w:r>
      <w:r w:rsidR="00A806E8" w:rsidRPr="00A806E8">
        <w:rPr>
          <w:rFonts w:ascii="Times New Roman" w:eastAsia="Times New Roman" w:hAnsi="Times New Roman" w:cs="Times New Roman"/>
          <w:kern w:val="0"/>
          <w:sz w:val="20"/>
          <w:szCs w:val="20"/>
          <w:lang w:eastAsia="hr-HR"/>
          <w14:ligatures w14:val="none"/>
        </w:rPr>
        <w:t>- koje u smislu Zakona o komunalnom gospodarstvu obuhvaća  rješavanje imovinskopravnih odnosa na zemljištu za građenje komunalne infrastrukture, uklanjanje i/ili izmještanje postojećih građevina na zemljištu za građenje komunalne infrastrukture i radove na sanaciji tog zemljišta, pribavljanje projekata i druge dokumentacije potrebne za izdavanje dozvola i drugih akata za građenje i uporabu komunalne infrastrukture, građenje komunalne infrastrukture u smislu zakona kojim se uređuje gradnja građevina).</w:t>
      </w:r>
    </w:p>
    <w:p w14:paraId="2880352D" w14:textId="77777777" w:rsidR="00A806E8" w:rsidRDefault="00A806E8" w:rsidP="00A806E8">
      <w:pPr>
        <w:pStyle w:val="StandardWeb"/>
        <w:jc w:val="both"/>
      </w:pPr>
      <w:r>
        <w:t>Stoga se opravdanost predloženog povećanja procjenjuje uzimajući u obzir troškove održavanja, izvore njihova financiranja, planirane potrebe i druge raspoložive prihode, a ne samo usporedbom ukupnih prihoda od komunalne naknade s ukupnim rashodima upravnog odjela.</w:t>
      </w:r>
    </w:p>
    <w:p w14:paraId="6D22F9EE" w14:textId="77777777" w:rsidR="00056BD6" w:rsidRDefault="00056BD6" w:rsidP="00056BD6">
      <w:pPr>
        <w:spacing w:before="100" w:beforeAutospacing="1" w:after="100" w:afterAutospacing="1" w:line="240" w:lineRule="auto"/>
        <w:outlineLvl w:val="1"/>
        <w:rPr>
          <w:rFonts w:ascii="Times New Roman" w:eastAsia="Times New Roman" w:hAnsi="Times New Roman" w:cs="Times New Roman"/>
          <w:b/>
          <w:bCs/>
          <w:kern w:val="0"/>
          <w:sz w:val="28"/>
          <w:szCs w:val="28"/>
          <w:lang w:eastAsia="hr-HR"/>
          <w14:ligatures w14:val="none"/>
        </w:rPr>
      </w:pPr>
      <w:r w:rsidRPr="00422587">
        <w:rPr>
          <w:rFonts w:ascii="Times New Roman" w:eastAsia="Times New Roman" w:hAnsi="Times New Roman" w:cs="Times New Roman"/>
          <w:b/>
          <w:bCs/>
          <w:kern w:val="0"/>
          <w:sz w:val="28"/>
          <w:szCs w:val="28"/>
          <w:lang w:eastAsia="hr-HR"/>
          <w14:ligatures w14:val="none"/>
        </w:rPr>
        <w:t>4. Planirani troškovi održavanja komunalne infrastrukture u 2026. godini</w:t>
      </w:r>
    </w:p>
    <w:p w14:paraId="14069C89" w14:textId="3E710179" w:rsidR="007A2132" w:rsidRPr="007A2132" w:rsidRDefault="007A2132" w:rsidP="00056BD6">
      <w:pPr>
        <w:spacing w:before="100" w:beforeAutospacing="1" w:after="100" w:afterAutospacing="1" w:line="240" w:lineRule="auto"/>
        <w:rPr>
          <w:rFonts w:ascii="Times New Roman" w:eastAsia="Times New Roman" w:hAnsi="Times New Roman" w:cs="Times New Roman"/>
          <w:kern w:val="0"/>
          <w:lang w:eastAsia="hr-HR"/>
          <w14:ligatures w14:val="none"/>
        </w:rPr>
      </w:pPr>
      <w:r w:rsidRPr="007A2132">
        <w:rPr>
          <w:rFonts w:ascii="Times New Roman" w:hAnsi="Times New Roman" w:cs="Times New Roman"/>
        </w:rPr>
        <w:t>Podaci za 2026. su prikaz planiranih potreba ali u ovom trenu ne i dokaz stvarnog rasta rashoda dok nema odgovarajuć</w:t>
      </w:r>
      <w:r w:rsidR="00AF61ED">
        <w:rPr>
          <w:rFonts w:ascii="Times New Roman" w:hAnsi="Times New Roman" w:cs="Times New Roman"/>
        </w:rPr>
        <w:t>ih</w:t>
      </w:r>
      <w:r w:rsidRPr="007A2132">
        <w:rPr>
          <w:rFonts w:ascii="Times New Roman" w:hAnsi="Times New Roman" w:cs="Times New Roman"/>
        </w:rPr>
        <w:t xml:space="preserve"> podatke o izvršenju.</w:t>
      </w:r>
    </w:p>
    <w:p w14:paraId="3524FDD5" w14:textId="77777777" w:rsidR="00422587" w:rsidRDefault="00056BD6" w:rsidP="00056BD6">
      <w:pPr>
        <w:spacing w:before="100" w:beforeAutospacing="1" w:after="100" w:afterAutospacing="1"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Prema II. izmjenama i dopunama Programa održavanja komunalne infrastrukture za 2026. godinu, ukupna planirana sredstva za održavanje iznose 1.346.500,00 eura. Od toga se 1.159.900,00 eura planira financirati iz komunalne naknade, a 186.600,00 eura iz drugih izvora.</w:t>
      </w:r>
    </w:p>
    <w:p w14:paraId="027DCF75" w14:textId="25472361" w:rsidR="00056BD6" w:rsidRDefault="00056BD6" w:rsidP="00056BD6">
      <w:pPr>
        <w:spacing w:before="100" w:beforeAutospacing="1" w:after="100" w:afterAutospacing="1"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Planirana sredstva raspoređena su na sljedeće skupine aktivnosti:</w:t>
      </w:r>
    </w:p>
    <w:p w14:paraId="6770D9CB" w14:textId="77777777" w:rsidR="00422587" w:rsidRPr="00422587" w:rsidRDefault="00422587" w:rsidP="00056BD6">
      <w:pPr>
        <w:spacing w:before="100" w:beforeAutospacing="1" w:after="100" w:afterAutospacing="1" w:line="240" w:lineRule="auto"/>
        <w:rPr>
          <w:rFonts w:ascii="Times New Roman" w:eastAsia="Times New Roman" w:hAnsi="Times New Roman" w:cs="Times New Roman"/>
          <w:kern w:val="0"/>
          <w:lang w:eastAsia="hr-HR"/>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03"/>
        <w:gridCol w:w="1500"/>
        <w:gridCol w:w="2408"/>
        <w:gridCol w:w="1729"/>
      </w:tblGrid>
      <w:tr w:rsidR="00056BD6" w:rsidRPr="00422587" w14:paraId="4DEB38CB" w14:textId="77777777">
        <w:trPr>
          <w:tblCellSpacing w:w="15" w:type="dxa"/>
        </w:trPr>
        <w:tc>
          <w:tcPr>
            <w:tcW w:w="0" w:type="auto"/>
            <w:vAlign w:val="center"/>
            <w:hideMark/>
          </w:tcPr>
          <w:p w14:paraId="2F8C76D9" w14:textId="77777777" w:rsidR="00056BD6" w:rsidRPr="00422587" w:rsidRDefault="00056BD6" w:rsidP="00056BD6">
            <w:pPr>
              <w:spacing w:after="0" w:line="240" w:lineRule="auto"/>
              <w:jc w:val="center"/>
              <w:rPr>
                <w:rFonts w:ascii="Times New Roman" w:eastAsia="Times New Roman" w:hAnsi="Times New Roman" w:cs="Times New Roman"/>
                <w:b/>
                <w:bCs/>
                <w:kern w:val="0"/>
                <w:lang w:eastAsia="hr-HR"/>
                <w14:ligatures w14:val="none"/>
              </w:rPr>
            </w:pPr>
            <w:r w:rsidRPr="00422587">
              <w:rPr>
                <w:rFonts w:ascii="Times New Roman" w:eastAsia="Times New Roman" w:hAnsi="Times New Roman" w:cs="Times New Roman"/>
                <w:b/>
                <w:bCs/>
                <w:kern w:val="0"/>
                <w:lang w:eastAsia="hr-HR"/>
                <w14:ligatures w14:val="none"/>
              </w:rPr>
              <w:lastRenderedPageBreak/>
              <w:t>Skupina aktivnosti</w:t>
            </w:r>
          </w:p>
        </w:tc>
        <w:tc>
          <w:tcPr>
            <w:tcW w:w="0" w:type="auto"/>
            <w:vAlign w:val="center"/>
            <w:hideMark/>
          </w:tcPr>
          <w:p w14:paraId="3AB83747" w14:textId="77777777" w:rsidR="00056BD6" w:rsidRPr="00422587" w:rsidRDefault="00056BD6" w:rsidP="00056BD6">
            <w:pPr>
              <w:spacing w:after="0" w:line="240" w:lineRule="auto"/>
              <w:jc w:val="center"/>
              <w:rPr>
                <w:rFonts w:ascii="Times New Roman" w:eastAsia="Times New Roman" w:hAnsi="Times New Roman" w:cs="Times New Roman"/>
                <w:b/>
                <w:bCs/>
                <w:kern w:val="0"/>
                <w:lang w:eastAsia="hr-HR"/>
                <w14:ligatures w14:val="none"/>
              </w:rPr>
            </w:pPr>
            <w:r w:rsidRPr="00422587">
              <w:rPr>
                <w:rFonts w:ascii="Times New Roman" w:eastAsia="Times New Roman" w:hAnsi="Times New Roman" w:cs="Times New Roman"/>
                <w:b/>
                <w:bCs/>
                <w:kern w:val="0"/>
                <w:lang w:eastAsia="hr-HR"/>
                <w14:ligatures w14:val="none"/>
              </w:rPr>
              <w:t>Ukupno</w:t>
            </w:r>
          </w:p>
        </w:tc>
        <w:tc>
          <w:tcPr>
            <w:tcW w:w="0" w:type="auto"/>
            <w:vAlign w:val="center"/>
            <w:hideMark/>
          </w:tcPr>
          <w:p w14:paraId="482D8478" w14:textId="77777777" w:rsidR="00056BD6" w:rsidRPr="00422587" w:rsidRDefault="00056BD6" w:rsidP="00056BD6">
            <w:pPr>
              <w:spacing w:after="0" w:line="240" w:lineRule="auto"/>
              <w:jc w:val="center"/>
              <w:rPr>
                <w:rFonts w:ascii="Times New Roman" w:eastAsia="Times New Roman" w:hAnsi="Times New Roman" w:cs="Times New Roman"/>
                <w:b/>
                <w:bCs/>
                <w:kern w:val="0"/>
                <w:lang w:eastAsia="hr-HR"/>
                <w14:ligatures w14:val="none"/>
              </w:rPr>
            </w:pPr>
            <w:r w:rsidRPr="00422587">
              <w:rPr>
                <w:rFonts w:ascii="Times New Roman" w:eastAsia="Times New Roman" w:hAnsi="Times New Roman" w:cs="Times New Roman"/>
                <w:b/>
                <w:bCs/>
                <w:kern w:val="0"/>
                <w:lang w:eastAsia="hr-HR"/>
                <w14:ligatures w14:val="none"/>
              </w:rPr>
              <w:t>Iz komunalne naknade</w:t>
            </w:r>
          </w:p>
        </w:tc>
        <w:tc>
          <w:tcPr>
            <w:tcW w:w="0" w:type="auto"/>
            <w:vAlign w:val="center"/>
            <w:hideMark/>
          </w:tcPr>
          <w:p w14:paraId="153FDC18" w14:textId="77777777" w:rsidR="00056BD6" w:rsidRPr="00422587" w:rsidRDefault="00056BD6" w:rsidP="00056BD6">
            <w:pPr>
              <w:spacing w:after="0" w:line="240" w:lineRule="auto"/>
              <w:jc w:val="center"/>
              <w:rPr>
                <w:rFonts w:ascii="Times New Roman" w:eastAsia="Times New Roman" w:hAnsi="Times New Roman" w:cs="Times New Roman"/>
                <w:b/>
                <w:bCs/>
                <w:kern w:val="0"/>
                <w:lang w:eastAsia="hr-HR"/>
                <w14:ligatures w14:val="none"/>
              </w:rPr>
            </w:pPr>
            <w:r w:rsidRPr="00422587">
              <w:rPr>
                <w:rFonts w:ascii="Times New Roman" w:eastAsia="Times New Roman" w:hAnsi="Times New Roman" w:cs="Times New Roman"/>
                <w:b/>
                <w:bCs/>
                <w:kern w:val="0"/>
                <w:lang w:eastAsia="hr-HR"/>
                <w14:ligatures w14:val="none"/>
              </w:rPr>
              <w:t>Iz drugih izvora</w:t>
            </w:r>
          </w:p>
        </w:tc>
      </w:tr>
      <w:tr w:rsidR="00056BD6" w:rsidRPr="00422587" w14:paraId="6491CA8B" w14:textId="77777777">
        <w:trPr>
          <w:tblCellSpacing w:w="15" w:type="dxa"/>
        </w:trPr>
        <w:tc>
          <w:tcPr>
            <w:tcW w:w="0" w:type="auto"/>
            <w:vAlign w:val="center"/>
            <w:hideMark/>
          </w:tcPr>
          <w:p w14:paraId="53EEA6CD"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Javne površine</w:t>
            </w:r>
          </w:p>
        </w:tc>
        <w:tc>
          <w:tcPr>
            <w:tcW w:w="0" w:type="auto"/>
            <w:vAlign w:val="center"/>
            <w:hideMark/>
          </w:tcPr>
          <w:p w14:paraId="0581E543"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802.000,00 €</w:t>
            </w:r>
          </w:p>
        </w:tc>
        <w:tc>
          <w:tcPr>
            <w:tcW w:w="0" w:type="auto"/>
            <w:vAlign w:val="center"/>
            <w:hideMark/>
          </w:tcPr>
          <w:p w14:paraId="6344E632"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718.400,00 €</w:t>
            </w:r>
          </w:p>
        </w:tc>
        <w:tc>
          <w:tcPr>
            <w:tcW w:w="0" w:type="auto"/>
            <w:vAlign w:val="center"/>
            <w:hideMark/>
          </w:tcPr>
          <w:p w14:paraId="65400878"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83.600,00 €</w:t>
            </w:r>
          </w:p>
        </w:tc>
      </w:tr>
      <w:tr w:rsidR="00056BD6" w:rsidRPr="00422587" w14:paraId="6DBF9564" w14:textId="77777777">
        <w:trPr>
          <w:tblCellSpacing w:w="15" w:type="dxa"/>
        </w:trPr>
        <w:tc>
          <w:tcPr>
            <w:tcW w:w="0" w:type="auto"/>
            <w:vAlign w:val="center"/>
            <w:hideMark/>
          </w:tcPr>
          <w:p w14:paraId="4814265D"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Nerazvrstane ceste</w:t>
            </w:r>
          </w:p>
        </w:tc>
        <w:tc>
          <w:tcPr>
            <w:tcW w:w="0" w:type="auto"/>
            <w:vAlign w:val="center"/>
            <w:hideMark/>
          </w:tcPr>
          <w:p w14:paraId="48109EE4"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485.500,00 €</w:t>
            </w:r>
          </w:p>
        </w:tc>
        <w:tc>
          <w:tcPr>
            <w:tcW w:w="0" w:type="auto"/>
            <w:vAlign w:val="center"/>
            <w:hideMark/>
          </w:tcPr>
          <w:p w14:paraId="40AC7A41"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382.500,00 €</w:t>
            </w:r>
          </w:p>
        </w:tc>
        <w:tc>
          <w:tcPr>
            <w:tcW w:w="0" w:type="auto"/>
            <w:vAlign w:val="center"/>
            <w:hideMark/>
          </w:tcPr>
          <w:p w14:paraId="33DAD8E5"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103.000,00 €</w:t>
            </w:r>
          </w:p>
        </w:tc>
      </w:tr>
      <w:tr w:rsidR="00056BD6" w:rsidRPr="00422587" w14:paraId="123C3271" w14:textId="77777777">
        <w:trPr>
          <w:tblCellSpacing w:w="15" w:type="dxa"/>
        </w:trPr>
        <w:tc>
          <w:tcPr>
            <w:tcW w:w="0" w:type="auto"/>
            <w:vAlign w:val="center"/>
            <w:hideMark/>
          </w:tcPr>
          <w:p w14:paraId="69D3131D"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Javna rasvjeta</w:t>
            </w:r>
          </w:p>
        </w:tc>
        <w:tc>
          <w:tcPr>
            <w:tcW w:w="0" w:type="auto"/>
            <w:vAlign w:val="center"/>
            <w:hideMark/>
          </w:tcPr>
          <w:p w14:paraId="61912E0D"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59.000,00 €</w:t>
            </w:r>
          </w:p>
        </w:tc>
        <w:tc>
          <w:tcPr>
            <w:tcW w:w="0" w:type="auto"/>
            <w:vAlign w:val="center"/>
            <w:hideMark/>
          </w:tcPr>
          <w:p w14:paraId="19A0A5DB"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59.000,00 €</w:t>
            </w:r>
          </w:p>
        </w:tc>
        <w:tc>
          <w:tcPr>
            <w:tcW w:w="0" w:type="auto"/>
            <w:vAlign w:val="center"/>
            <w:hideMark/>
          </w:tcPr>
          <w:p w14:paraId="43078312"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0,00 €</w:t>
            </w:r>
          </w:p>
        </w:tc>
      </w:tr>
      <w:tr w:rsidR="00056BD6" w:rsidRPr="00422587" w14:paraId="6E3F59F1" w14:textId="77777777">
        <w:trPr>
          <w:tblCellSpacing w:w="15" w:type="dxa"/>
        </w:trPr>
        <w:tc>
          <w:tcPr>
            <w:tcW w:w="0" w:type="auto"/>
            <w:vAlign w:val="center"/>
            <w:hideMark/>
          </w:tcPr>
          <w:p w14:paraId="2A67D7EB"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b/>
                <w:bCs/>
                <w:kern w:val="0"/>
                <w:lang w:eastAsia="hr-HR"/>
                <w14:ligatures w14:val="none"/>
              </w:rPr>
              <w:t>Ukupno</w:t>
            </w:r>
          </w:p>
        </w:tc>
        <w:tc>
          <w:tcPr>
            <w:tcW w:w="0" w:type="auto"/>
            <w:vAlign w:val="center"/>
            <w:hideMark/>
          </w:tcPr>
          <w:p w14:paraId="6CD3150E"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b/>
                <w:bCs/>
                <w:kern w:val="0"/>
                <w:lang w:eastAsia="hr-HR"/>
                <w14:ligatures w14:val="none"/>
              </w:rPr>
              <w:t>1.346.500,00 €</w:t>
            </w:r>
          </w:p>
        </w:tc>
        <w:tc>
          <w:tcPr>
            <w:tcW w:w="0" w:type="auto"/>
            <w:vAlign w:val="center"/>
            <w:hideMark/>
          </w:tcPr>
          <w:p w14:paraId="78DBAD3F"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b/>
                <w:bCs/>
                <w:kern w:val="0"/>
                <w:lang w:eastAsia="hr-HR"/>
                <w14:ligatures w14:val="none"/>
              </w:rPr>
              <w:t>1.159.900,00 €</w:t>
            </w:r>
          </w:p>
        </w:tc>
        <w:tc>
          <w:tcPr>
            <w:tcW w:w="0" w:type="auto"/>
            <w:vAlign w:val="center"/>
            <w:hideMark/>
          </w:tcPr>
          <w:p w14:paraId="1E925122"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b/>
                <w:bCs/>
                <w:kern w:val="0"/>
                <w:lang w:eastAsia="hr-HR"/>
                <w14:ligatures w14:val="none"/>
              </w:rPr>
              <w:t>186.600,00 €</w:t>
            </w:r>
          </w:p>
        </w:tc>
      </w:tr>
    </w:tbl>
    <w:p w14:paraId="0F6A7587" w14:textId="77777777" w:rsidR="00056BD6" w:rsidRPr="00422587" w:rsidRDefault="00056BD6" w:rsidP="00056BD6">
      <w:pPr>
        <w:spacing w:before="100" w:beforeAutospacing="1" w:after="100" w:afterAutospacing="1"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Navedeni podaci potvrđuju da održavanje komunalne infrastrukture zahtijeva znatna sredstva te da se, uz komunalnu naknadu, i dalje planira korištenje drugih izvora financiranja.</w:t>
      </w:r>
    </w:p>
    <w:p w14:paraId="022B8301" w14:textId="77777777" w:rsidR="00056BD6" w:rsidRPr="00422587" w:rsidRDefault="00056BD6" w:rsidP="00056BD6">
      <w:pPr>
        <w:spacing w:before="100" w:beforeAutospacing="1" w:after="100" w:afterAutospacing="1"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Planirani iznosi za 2026. godinu predstavljaju važnu osnovu za razmatranje vrijednosti boda, ali sami po sebi ne znače da bi se svi navedeni rashodi mogli ili trebali pokriti isključivo povećanjem komunalne naknade. Pri određivanju vrijednosti boda potrebno je voditi računa o ukupnim planiranim troškovima, drugim raspoloživim izvorima financiranja i fiskalnim mogućnostima Grada.</w:t>
      </w:r>
    </w:p>
    <w:p w14:paraId="5A4D715D" w14:textId="77777777" w:rsidR="00056BD6" w:rsidRPr="00422587" w:rsidRDefault="00056BD6" w:rsidP="00056BD6">
      <w:pPr>
        <w:spacing w:before="100" w:beforeAutospacing="1" w:after="100" w:afterAutospacing="1" w:line="240" w:lineRule="auto"/>
        <w:outlineLvl w:val="1"/>
        <w:rPr>
          <w:rFonts w:ascii="Times New Roman" w:eastAsia="Times New Roman" w:hAnsi="Times New Roman" w:cs="Times New Roman"/>
          <w:b/>
          <w:bCs/>
          <w:kern w:val="0"/>
          <w:sz w:val="28"/>
          <w:szCs w:val="28"/>
          <w:lang w:eastAsia="hr-HR"/>
          <w14:ligatures w14:val="none"/>
        </w:rPr>
      </w:pPr>
      <w:r w:rsidRPr="00422587">
        <w:rPr>
          <w:rFonts w:ascii="Times New Roman" w:eastAsia="Times New Roman" w:hAnsi="Times New Roman" w:cs="Times New Roman"/>
          <w:b/>
          <w:bCs/>
          <w:kern w:val="0"/>
          <w:sz w:val="28"/>
          <w:szCs w:val="28"/>
          <w:lang w:eastAsia="hr-HR"/>
          <w14:ligatures w14:val="none"/>
        </w:rPr>
        <w:t>5. Prijedlog nove vrijednosti boda</w:t>
      </w:r>
    </w:p>
    <w:p w14:paraId="6802D8DF" w14:textId="77777777" w:rsidR="00056BD6" w:rsidRPr="00422587" w:rsidRDefault="00056BD6" w:rsidP="00422587">
      <w:p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Predlaže se povećanje vrijednosti boda za obračun komunalne naknade s dosadašnjih 0,9556 eura na 1,25 eura po četvornom metru korisne površine godišnje.</w:t>
      </w:r>
    </w:p>
    <w:p w14:paraId="5046DCEB" w14:textId="77777777" w:rsidR="00056BD6" w:rsidRPr="00422587" w:rsidRDefault="00056BD6" w:rsidP="00422587">
      <w:p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Predložena vrijednost predstavlja povećanje od približno 30,81 % u odnosu na dosadašnju vrijednost boda.</w:t>
      </w:r>
    </w:p>
    <w:p w14:paraId="475AC153" w14:textId="77777777" w:rsidR="00B50BAA" w:rsidRDefault="00B50BAA" w:rsidP="00422587">
      <w:pPr>
        <w:pStyle w:val="StandardWeb"/>
        <w:jc w:val="both"/>
      </w:pPr>
      <w:r>
        <w:t>Povećanje se predlaže radi osiguravanja dostatnih prihoda za financiranje komunalnih djelatnosti, uključujući održavanje postojeće komunalne infrastrukture, izgradnju i razvoj nove infrastrukture te osiguravanje sredstava potrebnih za sudjelovanje Grada u sufinanciranju infrastrukturnih projekata u skladu s utvrđenim obvezama i pripadajućim udjelima. Pritom se uzimaju u obzir planirane potrebe, očekivani troškovi i drugi raspoloživi izvori financiranja.</w:t>
      </w:r>
    </w:p>
    <w:p w14:paraId="1D2ACF3F" w14:textId="77777777" w:rsidR="00056BD6" w:rsidRPr="00422587" w:rsidRDefault="00056BD6" w:rsidP="00422587">
      <w:p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Nova vrijednost boda primjenjivala bi se od 1. siječnja 2027. godine, pod uvjetom da Odluku donese Gradsko vijeće Grada Delnica u zakonskom roku. Ostali elementi obračuna, uključujući korisnu površinu nekretnine, zonu i odgovarajući koeficijent namjene, primjenjivali bi se u skladu s važećim gradskim odlukama.</w:t>
      </w:r>
    </w:p>
    <w:p w14:paraId="0E5D52A5" w14:textId="77777777" w:rsidR="00056BD6" w:rsidRPr="00422587" w:rsidRDefault="00056BD6" w:rsidP="00056BD6">
      <w:pPr>
        <w:spacing w:before="100" w:beforeAutospacing="1" w:after="100" w:afterAutospacing="1" w:line="240" w:lineRule="auto"/>
        <w:outlineLvl w:val="1"/>
        <w:rPr>
          <w:rFonts w:ascii="Times New Roman" w:eastAsia="Times New Roman" w:hAnsi="Times New Roman" w:cs="Times New Roman"/>
          <w:b/>
          <w:bCs/>
          <w:kern w:val="0"/>
          <w:sz w:val="28"/>
          <w:szCs w:val="28"/>
          <w:lang w:eastAsia="hr-HR"/>
          <w14:ligatures w14:val="none"/>
        </w:rPr>
      </w:pPr>
      <w:r w:rsidRPr="00422587">
        <w:rPr>
          <w:rFonts w:ascii="Times New Roman" w:eastAsia="Times New Roman" w:hAnsi="Times New Roman" w:cs="Times New Roman"/>
          <w:b/>
          <w:bCs/>
          <w:kern w:val="0"/>
          <w:sz w:val="28"/>
          <w:szCs w:val="28"/>
          <w:lang w:eastAsia="hr-HR"/>
          <w14:ligatures w14:val="none"/>
        </w:rPr>
        <w:t>6. Utjecaj predložene promjene na obveznike komunalne naknade</w:t>
      </w:r>
    </w:p>
    <w:p w14:paraId="2D38449B" w14:textId="77777777" w:rsidR="00056BD6" w:rsidRPr="00422587" w:rsidRDefault="00056BD6" w:rsidP="00056BD6">
      <w:pPr>
        <w:spacing w:before="100" w:beforeAutospacing="1" w:after="100" w:afterAutospacing="1"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Iznos komunalne naknade ovisi o vrijednosti boda, korisnoj površini nekretnine, zoni u kojoj se nekretnina nalazi i koeficijentu namjene. Zbog toga se apsolutni iznos povećanja razlikuje među obveznicima.</w:t>
      </w:r>
    </w:p>
    <w:p w14:paraId="62ACBEC8" w14:textId="77777777" w:rsidR="00056BD6" w:rsidRPr="00422587" w:rsidRDefault="00056BD6" w:rsidP="00056BD6">
      <w:pPr>
        <w:spacing w:before="100" w:beforeAutospacing="1" w:after="100" w:afterAutospacing="1"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U nastavku su prikazani informativni izračuni za nekretnine površine 100 m², uz primjenu navedenih koeficijenata zona i namjene. Konačni obračun pojedinačne nekretnine provodi se prema važećim gradskim odlukama i podacima o nekretnini.</w:t>
      </w:r>
    </w:p>
    <w:p w14:paraId="181FDBA5" w14:textId="77777777" w:rsidR="00056BD6" w:rsidRPr="00422587" w:rsidRDefault="00056BD6" w:rsidP="00056BD6">
      <w:pPr>
        <w:spacing w:before="100" w:beforeAutospacing="1" w:after="100" w:afterAutospacing="1" w:line="240" w:lineRule="auto"/>
        <w:outlineLvl w:val="2"/>
        <w:rPr>
          <w:rFonts w:ascii="Times New Roman" w:eastAsia="Times New Roman" w:hAnsi="Times New Roman" w:cs="Times New Roman"/>
          <w:b/>
          <w:bCs/>
          <w:kern w:val="0"/>
          <w:sz w:val="27"/>
          <w:szCs w:val="27"/>
          <w:lang w:eastAsia="hr-HR"/>
          <w14:ligatures w14:val="none"/>
        </w:rPr>
      </w:pPr>
      <w:r w:rsidRPr="00422587">
        <w:rPr>
          <w:rFonts w:ascii="Times New Roman" w:eastAsia="Times New Roman" w:hAnsi="Times New Roman" w:cs="Times New Roman"/>
          <w:b/>
          <w:bCs/>
          <w:kern w:val="0"/>
          <w:sz w:val="27"/>
          <w:szCs w:val="27"/>
          <w:lang w:eastAsia="hr-HR"/>
          <w14:ligatures w14:val="none"/>
        </w:rPr>
        <w:t>6.1. Primjer za stambeni prostor površine 100 m²</w:t>
      </w:r>
    </w:p>
    <w:p w14:paraId="193A0C61" w14:textId="77777777" w:rsidR="00056BD6" w:rsidRPr="00422587" w:rsidRDefault="00056BD6" w:rsidP="00056BD6">
      <w:pPr>
        <w:spacing w:before="100" w:beforeAutospacing="1" w:after="100" w:afterAutospacing="1"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Za potrebe primjera uzima se koeficijent namjene za stambeni prostor Kn = 1,00, a koeficijenti zona iznose: I. zona 1,00; II. zona 0,90; III. zona 0,70; IV. zona 0,60.</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61"/>
        <w:gridCol w:w="900"/>
        <w:gridCol w:w="900"/>
        <w:gridCol w:w="941"/>
        <w:gridCol w:w="942"/>
      </w:tblGrid>
      <w:tr w:rsidR="00056BD6" w:rsidRPr="00422587" w14:paraId="0F6E7F99" w14:textId="77777777">
        <w:trPr>
          <w:tblCellSpacing w:w="15" w:type="dxa"/>
        </w:trPr>
        <w:tc>
          <w:tcPr>
            <w:tcW w:w="0" w:type="auto"/>
            <w:vAlign w:val="center"/>
            <w:hideMark/>
          </w:tcPr>
          <w:p w14:paraId="62F9AAFF" w14:textId="77777777" w:rsidR="00056BD6" w:rsidRPr="00422587" w:rsidRDefault="00056BD6" w:rsidP="00056BD6">
            <w:pPr>
              <w:spacing w:after="0" w:line="240" w:lineRule="auto"/>
              <w:jc w:val="center"/>
              <w:rPr>
                <w:rFonts w:ascii="Times New Roman" w:eastAsia="Times New Roman" w:hAnsi="Times New Roman" w:cs="Times New Roman"/>
                <w:b/>
                <w:bCs/>
                <w:kern w:val="0"/>
                <w:lang w:eastAsia="hr-HR"/>
                <w14:ligatures w14:val="none"/>
              </w:rPr>
            </w:pPr>
            <w:r w:rsidRPr="00422587">
              <w:rPr>
                <w:rFonts w:ascii="Times New Roman" w:eastAsia="Times New Roman" w:hAnsi="Times New Roman" w:cs="Times New Roman"/>
                <w:b/>
                <w:bCs/>
                <w:kern w:val="0"/>
                <w:lang w:eastAsia="hr-HR"/>
                <w14:ligatures w14:val="none"/>
              </w:rPr>
              <w:lastRenderedPageBreak/>
              <w:t>Pokazatelj</w:t>
            </w:r>
          </w:p>
        </w:tc>
        <w:tc>
          <w:tcPr>
            <w:tcW w:w="0" w:type="auto"/>
            <w:vAlign w:val="center"/>
            <w:hideMark/>
          </w:tcPr>
          <w:p w14:paraId="1F21D699" w14:textId="77777777" w:rsidR="00056BD6" w:rsidRPr="00422587" w:rsidRDefault="00056BD6" w:rsidP="00056BD6">
            <w:pPr>
              <w:spacing w:after="0" w:line="240" w:lineRule="auto"/>
              <w:jc w:val="center"/>
              <w:rPr>
                <w:rFonts w:ascii="Times New Roman" w:eastAsia="Times New Roman" w:hAnsi="Times New Roman" w:cs="Times New Roman"/>
                <w:b/>
                <w:bCs/>
                <w:kern w:val="0"/>
                <w:lang w:eastAsia="hr-HR"/>
                <w14:ligatures w14:val="none"/>
              </w:rPr>
            </w:pPr>
            <w:r w:rsidRPr="00422587">
              <w:rPr>
                <w:rFonts w:ascii="Times New Roman" w:eastAsia="Times New Roman" w:hAnsi="Times New Roman" w:cs="Times New Roman"/>
                <w:b/>
                <w:bCs/>
                <w:kern w:val="0"/>
                <w:lang w:eastAsia="hr-HR"/>
                <w14:ligatures w14:val="none"/>
              </w:rPr>
              <w:t>I. zona</w:t>
            </w:r>
          </w:p>
        </w:tc>
        <w:tc>
          <w:tcPr>
            <w:tcW w:w="0" w:type="auto"/>
            <w:vAlign w:val="center"/>
            <w:hideMark/>
          </w:tcPr>
          <w:p w14:paraId="70327CE0" w14:textId="77777777" w:rsidR="00056BD6" w:rsidRPr="00422587" w:rsidRDefault="00056BD6" w:rsidP="00056BD6">
            <w:pPr>
              <w:spacing w:after="0" w:line="240" w:lineRule="auto"/>
              <w:jc w:val="center"/>
              <w:rPr>
                <w:rFonts w:ascii="Times New Roman" w:eastAsia="Times New Roman" w:hAnsi="Times New Roman" w:cs="Times New Roman"/>
                <w:b/>
                <w:bCs/>
                <w:kern w:val="0"/>
                <w:lang w:eastAsia="hr-HR"/>
                <w14:ligatures w14:val="none"/>
              </w:rPr>
            </w:pPr>
            <w:r w:rsidRPr="00422587">
              <w:rPr>
                <w:rFonts w:ascii="Times New Roman" w:eastAsia="Times New Roman" w:hAnsi="Times New Roman" w:cs="Times New Roman"/>
                <w:b/>
                <w:bCs/>
                <w:kern w:val="0"/>
                <w:lang w:eastAsia="hr-HR"/>
                <w14:ligatures w14:val="none"/>
              </w:rPr>
              <w:t>II. zona</w:t>
            </w:r>
          </w:p>
        </w:tc>
        <w:tc>
          <w:tcPr>
            <w:tcW w:w="0" w:type="auto"/>
            <w:vAlign w:val="center"/>
            <w:hideMark/>
          </w:tcPr>
          <w:p w14:paraId="5BEDA0A6" w14:textId="77777777" w:rsidR="00056BD6" w:rsidRPr="00422587" w:rsidRDefault="00056BD6" w:rsidP="00056BD6">
            <w:pPr>
              <w:spacing w:after="0" w:line="240" w:lineRule="auto"/>
              <w:jc w:val="center"/>
              <w:rPr>
                <w:rFonts w:ascii="Times New Roman" w:eastAsia="Times New Roman" w:hAnsi="Times New Roman" w:cs="Times New Roman"/>
                <w:b/>
                <w:bCs/>
                <w:kern w:val="0"/>
                <w:lang w:eastAsia="hr-HR"/>
                <w14:ligatures w14:val="none"/>
              </w:rPr>
            </w:pPr>
            <w:r w:rsidRPr="00422587">
              <w:rPr>
                <w:rFonts w:ascii="Times New Roman" w:eastAsia="Times New Roman" w:hAnsi="Times New Roman" w:cs="Times New Roman"/>
                <w:b/>
                <w:bCs/>
                <w:kern w:val="0"/>
                <w:lang w:eastAsia="hr-HR"/>
                <w14:ligatures w14:val="none"/>
              </w:rPr>
              <w:t>III. zona</w:t>
            </w:r>
          </w:p>
        </w:tc>
        <w:tc>
          <w:tcPr>
            <w:tcW w:w="0" w:type="auto"/>
            <w:vAlign w:val="center"/>
            <w:hideMark/>
          </w:tcPr>
          <w:p w14:paraId="4638E323" w14:textId="77777777" w:rsidR="00056BD6" w:rsidRPr="00422587" w:rsidRDefault="00056BD6" w:rsidP="00056BD6">
            <w:pPr>
              <w:spacing w:after="0" w:line="240" w:lineRule="auto"/>
              <w:jc w:val="center"/>
              <w:rPr>
                <w:rFonts w:ascii="Times New Roman" w:eastAsia="Times New Roman" w:hAnsi="Times New Roman" w:cs="Times New Roman"/>
                <w:b/>
                <w:bCs/>
                <w:kern w:val="0"/>
                <w:lang w:eastAsia="hr-HR"/>
                <w14:ligatures w14:val="none"/>
              </w:rPr>
            </w:pPr>
            <w:r w:rsidRPr="00422587">
              <w:rPr>
                <w:rFonts w:ascii="Times New Roman" w:eastAsia="Times New Roman" w:hAnsi="Times New Roman" w:cs="Times New Roman"/>
                <w:b/>
                <w:bCs/>
                <w:kern w:val="0"/>
                <w:lang w:eastAsia="hr-HR"/>
                <w14:ligatures w14:val="none"/>
              </w:rPr>
              <w:t>IV. zona</w:t>
            </w:r>
          </w:p>
        </w:tc>
      </w:tr>
      <w:tr w:rsidR="00056BD6" w:rsidRPr="00422587" w14:paraId="56C48C36" w14:textId="77777777">
        <w:trPr>
          <w:tblCellSpacing w:w="15" w:type="dxa"/>
        </w:trPr>
        <w:tc>
          <w:tcPr>
            <w:tcW w:w="0" w:type="auto"/>
            <w:vAlign w:val="center"/>
            <w:hideMark/>
          </w:tcPr>
          <w:p w14:paraId="1D21C7CE"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Koeficijent zone</w:t>
            </w:r>
          </w:p>
        </w:tc>
        <w:tc>
          <w:tcPr>
            <w:tcW w:w="0" w:type="auto"/>
            <w:vAlign w:val="center"/>
            <w:hideMark/>
          </w:tcPr>
          <w:p w14:paraId="33FAFEA8"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1,00</w:t>
            </w:r>
          </w:p>
        </w:tc>
        <w:tc>
          <w:tcPr>
            <w:tcW w:w="0" w:type="auto"/>
            <w:vAlign w:val="center"/>
            <w:hideMark/>
          </w:tcPr>
          <w:p w14:paraId="3F083E2F"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0,90</w:t>
            </w:r>
          </w:p>
        </w:tc>
        <w:tc>
          <w:tcPr>
            <w:tcW w:w="0" w:type="auto"/>
            <w:vAlign w:val="center"/>
            <w:hideMark/>
          </w:tcPr>
          <w:p w14:paraId="3A467208"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0,70</w:t>
            </w:r>
          </w:p>
        </w:tc>
        <w:tc>
          <w:tcPr>
            <w:tcW w:w="0" w:type="auto"/>
            <w:vAlign w:val="center"/>
            <w:hideMark/>
          </w:tcPr>
          <w:p w14:paraId="3B917865"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0,60</w:t>
            </w:r>
          </w:p>
        </w:tc>
      </w:tr>
      <w:tr w:rsidR="00056BD6" w:rsidRPr="00422587" w14:paraId="0A5CB863" w14:textId="77777777">
        <w:trPr>
          <w:tblCellSpacing w:w="15" w:type="dxa"/>
        </w:trPr>
        <w:tc>
          <w:tcPr>
            <w:tcW w:w="0" w:type="auto"/>
            <w:vAlign w:val="center"/>
            <w:hideMark/>
          </w:tcPr>
          <w:p w14:paraId="4D43E56F"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Godišnji iznos uz B = 0,9556 €</w:t>
            </w:r>
          </w:p>
        </w:tc>
        <w:tc>
          <w:tcPr>
            <w:tcW w:w="0" w:type="auto"/>
            <w:vAlign w:val="center"/>
            <w:hideMark/>
          </w:tcPr>
          <w:p w14:paraId="40C5A9CB"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95,56 €</w:t>
            </w:r>
          </w:p>
        </w:tc>
        <w:tc>
          <w:tcPr>
            <w:tcW w:w="0" w:type="auto"/>
            <w:vAlign w:val="center"/>
            <w:hideMark/>
          </w:tcPr>
          <w:p w14:paraId="7A0F9BBF"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86,00 €</w:t>
            </w:r>
          </w:p>
        </w:tc>
        <w:tc>
          <w:tcPr>
            <w:tcW w:w="0" w:type="auto"/>
            <w:vAlign w:val="center"/>
            <w:hideMark/>
          </w:tcPr>
          <w:p w14:paraId="43D6E7C5"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66,89 €</w:t>
            </w:r>
          </w:p>
        </w:tc>
        <w:tc>
          <w:tcPr>
            <w:tcW w:w="0" w:type="auto"/>
            <w:vAlign w:val="center"/>
            <w:hideMark/>
          </w:tcPr>
          <w:p w14:paraId="2686544C"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57,34 €</w:t>
            </w:r>
          </w:p>
        </w:tc>
      </w:tr>
      <w:tr w:rsidR="00056BD6" w:rsidRPr="00422587" w14:paraId="03FF89DE" w14:textId="77777777">
        <w:trPr>
          <w:tblCellSpacing w:w="15" w:type="dxa"/>
        </w:trPr>
        <w:tc>
          <w:tcPr>
            <w:tcW w:w="0" w:type="auto"/>
            <w:vAlign w:val="center"/>
            <w:hideMark/>
          </w:tcPr>
          <w:p w14:paraId="221A5A1A"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Godišnji iznos uz B = 1,25 €</w:t>
            </w:r>
          </w:p>
        </w:tc>
        <w:tc>
          <w:tcPr>
            <w:tcW w:w="0" w:type="auto"/>
            <w:vAlign w:val="center"/>
            <w:hideMark/>
          </w:tcPr>
          <w:p w14:paraId="67FF4A65"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125,00 €</w:t>
            </w:r>
          </w:p>
        </w:tc>
        <w:tc>
          <w:tcPr>
            <w:tcW w:w="0" w:type="auto"/>
            <w:vAlign w:val="center"/>
            <w:hideMark/>
          </w:tcPr>
          <w:p w14:paraId="47D5F250"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112,50 €</w:t>
            </w:r>
          </w:p>
        </w:tc>
        <w:tc>
          <w:tcPr>
            <w:tcW w:w="0" w:type="auto"/>
            <w:vAlign w:val="center"/>
            <w:hideMark/>
          </w:tcPr>
          <w:p w14:paraId="75BDB6EF"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87,50 €</w:t>
            </w:r>
          </w:p>
        </w:tc>
        <w:tc>
          <w:tcPr>
            <w:tcW w:w="0" w:type="auto"/>
            <w:vAlign w:val="center"/>
            <w:hideMark/>
          </w:tcPr>
          <w:p w14:paraId="0A1FE0CB"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75,00 €</w:t>
            </w:r>
          </w:p>
        </w:tc>
      </w:tr>
      <w:tr w:rsidR="00056BD6" w:rsidRPr="00422587" w14:paraId="7490AAF2" w14:textId="77777777">
        <w:trPr>
          <w:tblCellSpacing w:w="15" w:type="dxa"/>
        </w:trPr>
        <w:tc>
          <w:tcPr>
            <w:tcW w:w="0" w:type="auto"/>
            <w:vAlign w:val="center"/>
            <w:hideMark/>
          </w:tcPr>
          <w:p w14:paraId="7D58AD03"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b/>
                <w:bCs/>
                <w:kern w:val="0"/>
                <w:lang w:eastAsia="hr-HR"/>
                <w14:ligatures w14:val="none"/>
              </w:rPr>
              <w:t>Godišnje povećanje</w:t>
            </w:r>
          </w:p>
        </w:tc>
        <w:tc>
          <w:tcPr>
            <w:tcW w:w="0" w:type="auto"/>
            <w:vAlign w:val="center"/>
            <w:hideMark/>
          </w:tcPr>
          <w:p w14:paraId="4DF2421A"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b/>
                <w:bCs/>
                <w:kern w:val="0"/>
                <w:lang w:eastAsia="hr-HR"/>
                <w14:ligatures w14:val="none"/>
              </w:rPr>
              <w:t>29,44 €</w:t>
            </w:r>
          </w:p>
        </w:tc>
        <w:tc>
          <w:tcPr>
            <w:tcW w:w="0" w:type="auto"/>
            <w:vAlign w:val="center"/>
            <w:hideMark/>
          </w:tcPr>
          <w:p w14:paraId="61DEBC94"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b/>
                <w:bCs/>
                <w:kern w:val="0"/>
                <w:lang w:eastAsia="hr-HR"/>
                <w14:ligatures w14:val="none"/>
              </w:rPr>
              <w:t>26,50 €</w:t>
            </w:r>
          </w:p>
        </w:tc>
        <w:tc>
          <w:tcPr>
            <w:tcW w:w="0" w:type="auto"/>
            <w:vAlign w:val="center"/>
            <w:hideMark/>
          </w:tcPr>
          <w:p w14:paraId="38F57180"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b/>
                <w:bCs/>
                <w:kern w:val="0"/>
                <w:lang w:eastAsia="hr-HR"/>
                <w14:ligatures w14:val="none"/>
              </w:rPr>
              <w:t>20,61 €</w:t>
            </w:r>
          </w:p>
        </w:tc>
        <w:tc>
          <w:tcPr>
            <w:tcW w:w="0" w:type="auto"/>
            <w:vAlign w:val="center"/>
            <w:hideMark/>
          </w:tcPr>
          <w:p w14:paraId="3B101F61"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b/>
                <w:bCs/>
                <w:kern w:val="0"/>
                <w:lang w:eastAsia="hr-HR"/>
                <w14:ligatures w14:val="none"/>
              </w:rPr>
              <w:t>17,66 €</w:t>
            </w:r>
          </w:p>
        </w:tc>
      </w:tr>
      <w:tr w:rsidR="00056BD6" w:rsidRPr="00422587" w14:paraId="05BFDBB4" w14:textId="77777777">
        <w:trPr>
          <w:tblCellSpacing w:w="15" w:type="dxa"/>
        </w:trPr>
        <w:tc>
          <w:tcPr>
            <w:tcW w:w="0" w:type="auto"/>
            <w:vAlign w:val="center"/>
            <w:hideMark/>
          </w:tcPr>
          <w:p w14:paraId="6CFAF687"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Dosadašnji prosječni mjesečni iznos</w:t>
            </w:r>
          </w:p>
        </w:tc>
        <w:tc>
          <w:tcPr>
            <w:tcW w:w="0" w:type="auto"/>
            <w:vAlign w:val="center"/>
            <w:hideMark/>
          </w:tcPr>
          <w:p w14:paraId="72D0998B"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7,96 €</w:t>
            </w:r>
          </w:p>
        </w:tc>
        <w:tc>
          <w:tcPr>
            <w:tcW w:w="0" w:type="auto"/>
            <w:vAlign w:val="center"/>
            <w:hideMark/>
          </w:tcPr>
          <w:p w14:paraId="479F571E"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7,17 €</w:t>
            </w:r>
          </w:p>
        </w:tc>
        <w:tc>
          <w:tcPr>
            <w:tcW w:w="0" w:type="auto"/>
            <w:vAlign w:val="center"/>
            <w:hideMark/>
          </w:tcPr>
          <w:p w14:paraId="46DDE9D9"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5,57 €</w:t>
            </w:r>
          </w:p>
        </w:tc>
        <w:tc>
          <w:tcPr>
            <w:tcW w:w="0" w:type="auto"/>
            <w:vAlign w:val="center"/>
            <w:hideMark/>
          </w:tcPr>
          <w:p w14:paraId="4A60FC67"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4,78 €</w:t>
            </w:r>
          </w:p>
        </w:tc>
      </w:tr>
      <w:tr w:rsidR="00056BD6" w:rsidRPr="00422587" w14:paraId="31A3DCC2" w14:textId="77777777">
        <w:trPr>
          <w:tblCellSpacing w:w="15" w:type="dxa"/>
        </w:trPr>
        <w:tc>
          <w:tcPr>
            <w:tcW w:w="0" w:type="auto"/>
            <w:vAlign w:val="center"/>
            <w:hideMark/>
          </w:tcPr>
          <w:p w14:paraId="2C5C4B87"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Novi prosječni mjesečni iznos</w:t>
            </w:r>
          </w:p>
        </w:tc>
        <w:tc>
          <w:tcPr>
            <w:tcW w:w="0" w:type="auto"/>
            <w:vAlign w:val="center"/>
            <w:hideMark/>
          </w:tcPr>
          <w:p w14:paraId="6BCA4A4A"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10,42 €</w:t>
            </w:r>
          </w:p>
        </w:tc>
        <w:tc>
          <w:tcPr>
            <w:tcW w:w="0" w:type="auto"/>
            <w:vAlign w:val="center"/>
            <w:hideMark/>
          </w:tcPr>
          <w:p w14:paraId="4A90E754"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9,38 €</w:t>
            </w:r>
          </w:p>
        </w:tc>
        <w:tc>
          <w:tcPr>
            <w:tcW w:w="0" w:type="auto"/>
            <w:vAlign w:val="center"/>
            <w:hideMark/>
          </w:tcPr>
          <w:p w14:paraId="34075177"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7,29 €</w:t>
            </w:r>
          </w:p>
        </w:tc>
        <w:tc>
          <w:tcPr>
            <w:tcW w:w="0" w:type="auto"/>
            <w:vAlign w:val="center"/>
            <w:hideMark/>
          </w:tcPr>
          <w:p w14:paraId="17CD14CE"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6,25 €</w:t>
            </w:r>
          </w:p>
        </w:tc>
      </w:tr>
      <w:tr w:rsidR="00056BD6" w:rsidRPr="00422587" w14:paraId="16C8D38C" w14:textId="77777777">
        <w:trPr>
          <w:tblCellSpacing w:w="15" w:type="dxa"/>
        </w:trPr>
        <w:tc>
          <w:tcPr>
            <w:tcW w:w="0" w:type="auto"/>
            <w:vAlign w:val="center"/>
            <w:hideMark/>
          </w:tcPr>
          <w:p w14:paraId="7658C19C"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b/>
                <w:bCs/>
                <w:kern w:val="0"/>
                <w:lang w:eastAsia="hr-HR"/>
                <w14:ligatures w14:val="none"/>
              </w:rPr>
              <w:t>Prosječno mjesečno povećanje</w:t>
            </w:r>
          </w:p>
        </w:tc>
        <w:tc>
          <w:tcPr>
            <w:tcW w:w="0" w:type="auto"/>
            <w:vAlign w:val="center"/>
            <w:hideMark/>
          </w:tcPr>
          <w:p w14:paraId="46087449"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b/>
                <w:bCs/>
                <w:kern w:val="0"/>
                <w:lang w:eastAsia="hr-HR"/>
                <w14:ligatures w14:val="none"/>
              </w:rPr>
              <w:t>2,45 €</w:t>
            </w:r>
          </w:p>
        </w:tc>
        <w:tc>
          <w:tcPr>
            <w:tcW w:w="0" w:type="auto"/>
            <w:vAlign w:val="center"/>
            <w:hideMark/>
          </w:tcPr>
          <w:p w14:paraId="4D61DCAD"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b/>
                <w:bCs/>
                <w:kern w:val="0"/>
                <w:lang w:eastAsia="hr-HR"/>
                <w14:ligatures w14:val="none"/>
              </w:rPr>
              <w:t>2,21 €</w:t>
            </w:r>
          </w:p>
        </w:tc>
        <w:tc>
          <w:tcPr>
            <w:tcW w:w="0" w:type="auto"/>
            <w:vAlign w:val="center"/>
            <w:hideMark/>
          </w:tcPr>
          <w:p w14:paraId="3E5BAF9D"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b/>
                <w:bCs/>
                <w:kern w:val="0"/>
                <w:lang w:eastAsia="hr-HR"/>
                <w14:ligatures w14:val="none"/>
              </w:rPr>
              <w:t>1,72 €</w:t>
            </w:r>
          </w:p>
        </w:tc>
        <w:tc>
          <w:tcPr>
            <w:tcW w:w="0" w:type="auto"/>
            <w:vAlign w:val="center"/>
            <w:hideMark/>
          </w:tcPr>
          <w:p w14:paraId="5E6D00E9"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b/>
                <w:bCs/>
                <w:kern w:val="0"/>
                <w:lang w:eastAsia="hr-HR"/>
                <w14:ligatures w14:val="none"/>
              </w:rPr>
              <w:t>1,47 €</w:t>
            </w:r>
          </w:p>
        </w:tc>
      </w:tr>
    </w:tbl>
    <w:p w14:paraId="316860BA" w14:textId="62867FD8" w:rsidR="00056BD6" w:rsidRPr="00422587" w:rsidRDefault="00056BD6" w:rsidP="00056BD6">
      <w:pPr>
        <w:spacing w:before="100" w:beforeAutospacing="1" w:after="100" w:afterAutospacing="1"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 xml:space="preserve">Mjesečni iznosi prikazani su informativno kao dvanaestina godišnjeg iznosa i zaokruženi na dvije decimale. </w:t>
      </w:r>
    </w:p>
    <w:p w14:paraId="0C538243" w14:textId="77777777" w:rsidR="00056BD6" w:rsidRPr="00422587" w:rsidRDefault="00056BD6" w:rsidP="00056BD6">
      <w:pPr>
        <w:spacing w:before="100" w:beforeAutospacing="1" w:after="100" w:afterAutospacing="1" w:line="240" w:lineRule="auto"/>
        <w:outlineLvl w:val="2"/>
        <w:rPr>
          <w:rFonts w:ascii="Times New Roman" w:eastAsia="Times New Roman" w:hAnsi="Times New Roman" w:cs="Times New Roman"/>
          <w:b/>
          <w:bCs/>
          <w:kern w:val="0"/>
          <w:sz w:val="27"/>
          <w:szCs w:val="27"/>
          <w:lang w:eastAsia="hr-HR"/>
          <w14:ligatures w14:val="none"/>
        </w:rPr>
      </w:pPr>
      <w:r w:rsidRPr="00422587">
        <w:rPr>
          <w:rFonts w:ascii="Times New Roman" w:eastAsia="Times New Roman" w:hAnsi="Times New Roman" w:cs="Times New Roman"/>
          <w:b/>
          <w:bCs/>
          <w:kern w:val="0"/>
          <w:sz w:val="27"/>
          <w:szCs w:val="27"/>
          <w:lang w:eastAsia="hr-HR"/>
          <w14:ligatures w14:val="none"/>
        </w:rPr>
        <w:t>6.2. Primjer za poslovni prostor površine 100 m²</w:t>
      </w:r>
    </w:p>
    <w:p w14:paraId="7AB8EAC6" w14:textId="77777777" w:rsidR="00056BD6" w:rsidRPr="00422587" w:rsidRDefault="00056BD6" w:rsidP="00056BD6">
      <w:pPr>
        <w:spacing w:before="100" w:beforeAutospacing="1" w:after="100" w:afterAutospacing="1"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Sljedeći primjeri prikazuju izračun za tri skupine namjene, uz koeficijente navedene u podlozi: trgovina i ugostiteljstvo Kn = 10,00; proizvodnja Kn = 3,50; radionica i skladište Kn = 6,00.</w:t>
      </w:r>
    </w:p>
    <w:p w14:paraId="461773FF" w14:textId="77777777" w:rsidR="00056BD6" w:rsidRPr="00422587" w:rsidRDefault="00056BD6" w:rsidP="00056BD6">
      <w:pPr>
        <w:spacing w:before="100" w:beforeAutospacing="1" w:after="100" w:afterAutospacing="1" w:line="240" w:lineRule="auto"/>
        <w:outlineLvl w:val="3"/>
        <w:rPr>
          <w:rFonts w:ascii="Times New Roman" w:eastAsia="Times New Roman" w:hAnsi="Times New Roman" w:cs="Times New Roman"/>
          <w:b/>
          <w:bCs/>
          <w:kern w:val="0"/>
          <w:lang w:eastAsia="hr-HR"/>
          <w14:ligatures w14:val="none"/>
        </w:rPr>
      </w:pPr>
      <w:r w:rsidRPr="00422587">
        <w:rPr>
          <w:rFonts w:ascii="Times New Roman" w:eastAsia="Times New Roman" w:hAnsi="Times New Roman" w:cs="Times New Roman"/>
          <w:b/>
          <w:bCs/>
          <w:kern w:val="0"/>
          <w:lang w:eastAsia="hr-HR"/>
          <w14:ligatures w14:val="none"/>
        </w:rPr>
        <w:t>Godišnji iznos za poslovni prostor – proizvodnja, Kn = 3,50</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71"/>
        <w:gridCol w:w="900"/>
        <w:gridCol w:w="900"/>
        <w:gridCol w:w="941"/>
        <w:gridCol w:w="942"/>
      </w:tblGrid>
      <w:tr w:rsidR="00056BD6" w:rsidRPr="00422587" w14:paraId="14FBC60C" w14:textId="77777777">
        <w:trPr>
          <w:tblCellSpacing w:w="15" w:type="dxa"/>
        </w:trPr>
        <w:tc>
          <w:tcPr>
            <w:tcW w:w="0" w:type="auto"/>
            <w:vAlign w:val="center"/>
            <w:hideMark/>
          </w:tcPr>
          <w:p w14:paraId="0CC9D767" w14:textId="77777777" w:rsidR="00056BD6" w:rsidRPr="00422587" w:rsidRDefault="00056BD6" w:rsidP="00056BD6">
            <w:pPr>
              <w:spacing w:after="0" w:line="240" w:lineRule="auto"/>
              <w:jc w:val="center"/>
              <w:rPr>
                <w:rFonts w:ascii="Times New Roman" w:eastAsia="Times New Roman" w:hAnsi="Times New Roman" w:cs="Times New Roman"/>
                <w:b/>
                <w:bCs/>
                <w:kern w:val="0"/>
                <w:lang w:eastAsia="hr-HR"/>
                <w14:ligatures w14:val="none"/>
              </w:rPr>
            </w:pPr>
            <w:r w:rsidRPr="00422587">
              <w:rPr>
                <w:rFonts w:ascii="Times New Roman" w:eastAsia="Times New Roman" w:hAnsi="Times New Roman" w:cs="Times New Roman"/>
                <w:b/>
                <w:bCs/>
                <w:kern w:val="0"/>
                <w:lang w:eastAsia="hr-HR"/>
                <w14:ligatures w14:val="none"/>
              </w:rPr>
              <w:t>Pokazatelj</w:t>
            </w:r>
          </w:p>
        </w:tc>
        <w:tc>
          <w:tcPr>
            <w:tcW w:w="0" w:type="auto"/>
            <w:vAlign w:val="center"/>
            <w:hideMark/>
          </w:tcPr>
          <w:p w14:paraId="3659551F" w14:textId="77777777" w:rsidR="00056BD6" w:rsidRPr="00422587" w:rsidRDefault="00056BD6" w:rsidP="00056BD6">
            <w:pPr>
              <w:spacing w:after="0" w:line="240" w:lineRule="auto"/>
              <w:jc w:val="center"/>
              <w:rPr>
                <w:rFonts w:ascii="Times New Roman" w:eastAsia="Times New Roman" w:hAnsi="Times New Roman" w:cs="Times New Roman"/>
                <w:b/>
                <w:bCs/>
                <w:kern w:val="0"/>
                <w:lang w:eastAsia="hr-HR"/>
                <w14:ligatures w14:val="none"/>
              </w:rPr>
            </w:pPr>
            <w:r w:rsidRPr="00422587">
              <w:rPr>
                <w:rFonts w:ascii="Times New Roman" w:eastAsia="Times New Roman" w:hAnsi="Times New Roman" w:cs="Times New Roman"/>
                <w:b/>
                <w:bCs/>
                <w:kern w:val="0"/>
                <w:lang w:eastAsia="hr-HR"/>
                <w14:ligatures w14:val="none"/>
              </w:rPr>
              <w:t>I. zona</w:t>
            </w:r>
          </w:p>
        </w:tc>
        <w:tc>
          <w:tcPr>
            <w:tcW w:w="0" w:type="auto"/>
            <w:vAlign w:val="center"/>
            <w:hideMark/>
          </w:tcPr>
          <w:p w14:paraId="1C2363C6" w14:textId="77777777" w:rsidR="00056BD6" w:rsidRPr="00422587" w:rsidRDefault="00056BD6" w:rsidP="00056BD6">
            <w:pPr>
              <w:spacing w:after="0" w:line="240" w:lineRule="auto"/>
              <w:jc w:val="center"/>
              <w:rPr>
                <w:rFonts w:ascii="Times New Roman" w:eastAsia="Times New Roman" w:hAnsi="Times New Roman" w:cs="Times New Roman"/>
                <w:b/>
                <w:bCs/>
                <w:kern w:val="0"/>
                <w:lang w:eastAsia="hr-HR"/>
                <w14:ligatures w14:val="none"/>
              </w:rPr>
            </w:pPr>
            <w:r w:rsidRPr="00422587">
              <w:rPr>
                <w:rFonts w:ascii="Times New Roman" w:eastAsia="Times New Roman" w:hAnsi="Times New Roman" w:cs="Times New Roman"/>
                <w:b/>
                <w:bCs/>
                <w:kern w:val="0"/>
                <w:lang w:eastAsia="hr-HR"/>
                <w14:ligatures w14:val="none"/>
              </w:rPr>
              <w:t>II. zona</w:t>
            </w:r>
          </w:p>
        </w:tc>
        <w:tc>
          <w:tcPr>
            <w:tcW w:w="0" w:type="auto"/>
            <w:vAlign w:val="center"/>
            <w:hideMark/>
          </w:tcPr>
          <w:p w14:paraId="14B770C8" w14:textId="77777777" w:rsidR="00056BD6" w:rsidRPr="00422587" w:rsidRDefault="00056BD6" w:rsidP="00056BD6">
            <w:pPr>
              <w:spacing w:after="0" w:line="240" w:lineRule="auto"/>
              <w:jc w:val="center"/>
              <w:rPr>
                <w:rFonts w:ascii="Times New Roman" w:eastAsia="Times New Roman" w:hAnsi="Times New Roman" w:cs="Times New Roman"/>
                <w:b/>
                <w:bCs/>
                <w:kern w:val="0"/>
                <w:lang w:eastAsia="hr-HR"/>
                <w14:ligatures w14:val="none"/>
              </w:rPr>
            </w:pPr>
            <w:r w:rsidRPr="00422587">
              <w:rPr>
                <w:rFonts w:ascii="Times New Roman" w:eastAsia="Times New Roman" w:hAnsi="Times New Roman" w:cs="Times New Roman"/>
                <w:b/>
                <w:bCs/>
                <w:kern w:val="0"/>
                <w:lang w:eastAsia="hr-HR"/>
                <w14:ligatures w14:val="none"/>
              </w:rPr>
              <w:t>III. zona</w:t>
            </w:r>
          </w:p>
        </w:tc>
        <w:tc>
          <w:tcPr>
            <w:tcW w:w="0" w:type="auto"/>
            <w:vAlign w:val="center"/>
            <w:hideMark/>
          </w:tcPr>
          <w:p w14:paraId="5C6E77EE" w14:textId="77777777" w:rsidR="00056BD6" w:rsidRPr="00422587" w:rsidRDefault="00056BD6" w:rsidP="00056BD6">
            <w:pPr>
              <w:spacing w:after="0" w:line="240" w:lineRule="auto"/>
              <w:jc w:val="center"/>
              <w:rPr>
                <w:rFonts w:ascii="Times New Roman" w:eastAsia="Times New Roman" w:hAnsi="Times New Roman" w:cs="Times New Roman"/>
                <w:b/>
                <w:bCs/>
                <w:kern w:val="0"/>
                <w:lang w:eastAsia="hr-HR"/>
                <w14:ligatures w14:val="none"/>
              </w:rPr>
            </w:pPr>
            <w:r w:rsidRPr="00422587">
              <w:rPr>
                <w:rFonts w:ascii="Times New Roman" w:eastAsia="Times New Roman" w:hAnsi="Times New Roman" w:cs="Times New Roman"/>
                <w:b/>
                <w:bCs/>
                <w:kern w:val="0"/>
                <w:lang w:eastAsia="hr-HR"/>
                <w14:ligatures w14:val="none"/>
              </w:rPr>
              <w:t>IV. zona</w:t>
            </w:r>
          </w:p>
        </w:tc>
      </w:tr>
      <w:tr w:rsidR="00056BD6" w:rsidRPr="00422587" w14:paraId="4823D4AB" w14:textId="77777777">
        <w:trPr>
          <w:tblCellSpacing w:w="15" w:type="dxa"/>
        </w:trPr>
        <w:tc>
          <w:tcPr>
            <w:tcW w:w="0" w:type="auto"/>
            <w:vAlign w:val="center"/>
            <w:hideMark/>
          </w:tcPr>
          <w:p w14:paraId="19E97302"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Godišnji iznos uz B = 0,9556 €</w:t>
            </w:r>
          </w:p>
        </w:tc>
        <w:tc>
          <w:tcPr>
            <w:tcW w:w="0" w:type="auto"/>
            <w:vAlign w:val="center"/>
            <w:hideMark/>
          </w:tcPr>
          <w:p w14:paraId="2BEDD37E"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334,46 €</w:t>
            </w:r>
          </w:p>
        </w:tc>
        <w:tc>
          <w:tcPr>
            <w:tcW w:w="0" w:type="auto"/>
            <w:vAlign w:val="center"/>
            <w:hideMark/>
          </w:tcPr>
          <w:p w14:paraId="5DD7525A"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301,01 €</w:t>
            </w:r>
          </w:p>
        </w:tc>
        <w:tc>
          <w:tcPr>
            <w:tcW w:w="0" w:type="auto"/>
            <w:vAlign w:val="center"/>
            <w:hideMark/>
          </w:tcPr>
          <w:p w14:paraId="287F2EC6"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234,12 €</w:t>
            </w:r>
          </w:p>
        </w:tc>
        <w:tc>
          <w:tcPr>
            <w:tcW w:w="0" w:type="auto"/>
            <w:vAlign w:val="center"/>
            <w:hideMark/>
          </w:tcPr>
          <w:p w14:paraId="323220DF"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200,68 €</w:t>
            </w:r>
          </w:p>
        </w:tc>
      </w:tr>
      <w:tr w:rsidR="00056BD6" w:rsidRPr="00422587" w14:paraId="2505602D" w14:textId="77777777">
        <w:trPr>
          <w:tblCellSpacing w:w="15" w:type="dxa"/>
        </w:trPr>
        <w:tc>
          <w:tcPr>
            <w:tcW w:w="0" w:type="auto"/>
            <w:vAlign w:val="center"/>
            <w:hideMark/>
          </w:tcPr>
          <w:p w14:paraId="21A26CCE"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Godišnji iznos uz B = 1,25 €</w:t>
            </w:r>
          </w:p>
        </w:tc>
        <w:tc>
          <w:tcPr>
            <w:tcW w:w="0" w:type="auto"/>
            <w:vAlign w:val="center"/>
            <w:hideMark/>
          </w:tcPr>
          <w:p w14:paraId="6F34D5A7"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437,50 €</w:t>
            </w:r>
          </w:p>
        </w:tc>
        <w:tc>
          <w:tcPr>
            <w:tcW w:w="0" w:type="auto"/>
            <w:vAlign w:val="center"/>
            <w:hideMark/>
          </w:tcPr>
          <w:p w14:paraId="58F5580F"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393,75 €</w:t>
            </w:r>
          </w:p>
        </w:tc>
        <w:tc>
          <w:tcPr>
            <w:tcW w:w="0" w:type="auto"/>
            <w:vAlign w:val="center"/>
            <w:hideMark/>
          </w:tcPr>
          <w:p w14:paraId="574022F8"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306,25 €</w:t>
            </w:r>
          </w:p>
        </w:tc>
        <w:tc>
          <w:tcPr>
            <w:tcW w:w="0" w:type="auto"/>
            <w:vAlign w:val="center"/>
            <w:hideMark/>
          </w:tcPr>
          <w:p w14:paraId="528A7708"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262,50 €</w:t>
            </w:r>
          </w:p>
        </w:tc>
      </w:tr>
      <w:tr w:rsidR="00056BD6" w:rsidRPr="00422587" w14:paraId="26D99FE8" w14:textId="77777777">
        <w:trPr>
          <w:tblCellSpacing w:w="15" w:type="dxa"/>
        </w:trPr>
        <w:tc>
          <w:tcPr>
            <w:tcW w:w="0" w:type="auto"/>
            <w:vAlign w:val="center"/>
            <w:hideMark/>
          </w:tcPr>
          <w:p w14:paraId="5A4751E6"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b/>
                <w:bCs/>
                <w:kern w:val="0"/>
                <w:lang w:eastAsia="hr-HR"/>
                <w14:ligatures w14:val="none"/>
              </w:rPr>
              <w:t>Godišnje povećanje</w:t>
            </w:r>
          </w:p>
        </w:tc>
        <w:tc>
          <w:tcPr>
            <w:tcW w:w="0" w:type="auto"/>
            <w:vAlign w:val="center"/>
            <w:hideMark/>
          </w:tcPr>
          <w:p w14:paraId="7D1DBD31"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b/>
                <w:bCs/>
                <w:kern w:val="0"/>
                <w:lang w:eastAsia="hr-HR"/>
                <w14:ligatures w14:val="none"/>
              </w:rPr>
              <w:t>103,04 €</w:t>
            </w:r>
          </w:p>
        </w:tc>
        <w:tc>
          <w:tcPr>
            <w:tcW w:w="0" w:type="auto"/>
            <w:vAlign w:val="center"/>
            <w:hideMark/>
          </w:tcPr>
          <w:p w14:paraId="78EFFC6E"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b/>
                <w:bCs/>
                <w:kern w:val="0"/>
                <w:lang w:eastAsia="hr-HR"/>
                <w14:ligatures w14:val="none"/>
              </w:rPr>
              <w:t>92,74 €</w:t>
            </w:r>
          </w:p>
        </w:tc>
        <w:tc>
          <w:tcPr>
            <w:tcW w:w="0" w:type="auto"/>
            <w:vAlign w:val="center"/>
            <w:hideMark/>
          </w:tcPr>
          <w:p w14:paraId="29B3FD13"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b/>
                <w:bCs/>
                <w:kern w:val="0"/>
                <w:lang w:eastAsia="hr-HR"/>
                <w14:ligatures w14:val="none"/>
              </w:rPr>
              <w:t>72,13 €</w:t>
            </w:r>
          </w:p>
        </w:tc>
        <w:tc>
          <w:tcPr>
            <w:tcW w:w="0" w:type="auto"/>
            <w:vAlign w:val="center"/>
            <w:hideMark/>
          </w:tcPr>
          <w:p w14:paraId="79009824"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b/>
                <w:bCs/>
                <w:kern w:val="0"/>
                <w:lang w:eastAsia="hr-HR"/>
                <w14:ligatures w14:val="none"/>
              </w:rPr>
              <w:t>61,82 €</w:t>
            </w:r>
          </w:p>
        </w:tc>
      </w:tr>
    </w:tbl>
    <w:p w14:paraId="05D84075" w14:textId="77777777" w:rsidR="00056BD6" w:rsidRPr="00422587" w:rsidRDefault="00056BD6" w:rsidP="00056BD6">
      <w:pPr>
        <w:spacing w:before="100" w:beforeAutospacing="1" w:after="100" w:afterAutospacing="1" w:line="240" w:lineRule="auto"/>
        <w:outlineLvl w:val="3"/>
        <w:rPr>
          <w:rFonts w:ascii="Times New Roman" w:eastAsia="Times New Roman" w:hAnsi="Times New Roman" w:cs="Times New Roman"/>
          <w:b/>
          <w:bCs/>
          <w:kern w:val="0"/>
          <w:lang w:eastAsia="hr-HR"/>
          <w14:ligatures w14:val="none"/>
        </w:rPr>
      </w:pPr>
      <w:r w:rsidRPr="00422587">
        <w:rPr>
          <w:rFonts w:ascii="Times New Roman" w:eastAsia="Times New Roman" w:hAnsi="Times New Roman" w:cs="Times New Roman"/>
          <w:b/>
          <w:bCs/>
          <w:kern w:val="0"/>
          <w:lang w:eastAsia="hr-HR"/>
          <w14:ligatures w14:val="none"/>
        </w:rPr>
        <w:t>Godišnje povećanje prema namjeni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44"/>
        <w:gridCol w:w="900"/>
        <w:gridCol w:w="900"/>
        <w:gridCol w:w="941"/>
        <w:gridCol w:w="942"/>
      </w:tblGrid>
      <w:tr w:rsidR="00056BD6" w:rsidRPr="00422587" w14:paraId="16A170EF" w14:textId="77777777">
        <w:trPr>
          <w:tblCellSpacing w:w="15" w:type="dxa"/>
        </w:trPr>
        <w:tc>
          <w:tcPr>
            <w:tcW w:w="0" w:type="auto"/>
            <w:vAlign w:val="center"/>
            <w:hideMark/>
          </w:tcPr>
          <w:p w14:paraId="542D6C52" w14:textId="77777777" w:rsidR="00056BD6" w:rsidRPr="00422587" w:rsidRDefault="00056BD6" w:rsidP="00056BD6">
            <w:pPr>
              <w:spacing w:after="0" w:line="240" w:lineRule="auto"/>
              <w:jc w:val="center"/>
              <w:rPr>
                <w:rFonts w:ascii="Times New Roman" w:eastAsia="Times New Roman" w:hAnsi="Times New Roman" w:cs="Times New Roman"/>
                <w:b/>
                <w:bCs/>
                <w:kern w:val="0"/>
                <w:lang w:eastAsia="hr-HR"/>
                <w14:ligatures w14:val="none"/>
              </w:rPr>
            </w:pPr>
            <w:r w:rsidRPr="00422587">
              <w:rPr>
                <w:rFonts w:ascii="Times New Roman" w:eastAsia="Times New Roman" w:hAnsi="Times New Roman" w:cs="Times New Roman"/>
                <w:b/>
                <w:bCs/>
                <w:kern w:val="0"/>
                <w:lang w:eastAsia="hr-HR"/>
                <w14:ligatures w14:val="none"/>
              </w:rPr>
              <w:t>Namjena</w:t>
            </w:r>
          </w:p>
        </w:tc>
        <w:tc>
          <w:tcPr>
            <w:tcW w:w="0" w:type="auto"/>
            <w:vAlign w:val="center"/>
            <w:hideMark/>
          </w:tcPr>
          <w:p w14:paraId="6DA158E2" w14:textId="77777777" w:rsidR="00056BD6" w:rsidRPr="00422587" w:rsidRDefault="00056BD6" w:rsidP="00056BD6">
            <w:pPr>
              <w:spacing w:after="0" w:line="240" w:lineRule="auto"/>
              <w:jc w:val="center"/>
              <w:rPr>
                <w:rFonts w:ascii="Times New Roman" w:eastAsia="Times New Roman" w:hAnsi="Times New Roman" w:cs="Times New Roman"/>
                <w:b/>
                <w:bCs/>
                <w:kern w:val="0"/>
                <w:lang w:eastAsia="hr-HR"/>
                <w14:ligatures w14:val="none"/>
              </w:rPr>
            </w:pPr>
            <w:r w:rsidRPr="00422587">
              <w:rPr>
                <w:rFonts w:ascii="Times New Roman" w:eastAsia="Times New Roman" w:hAnsi="Times New Roman" w:cs="Times New Roman"/>
                <w:b/>
                <w:bCs/>
                <w:kern w:val="0"/>
                <w:lang w:eastAsia="hr-HR"/>
                <w14:ligatures w14:val="none"/>
              </w:rPr>
              <w:t>I. zona</w:t>
            </w:r>
          </w:p>
        </w:tc>
        <w:tc>
          <w:tcPr>
            <w:tcW w:w="0" w:type="auto"/>
            <w:vAlign w:val="center"/>
            <w:hideMark/>
          </w:tcPr>
          <w:p w14:paraId="61DBC0CC" w14:textId="77777777" w:rsidR="00056BD6" w:rsidRPr="00422587" w:rsidRDefault="00056BD6" w:rsidP="00056BD6">
            <w:pPr>
              <w:spacing w:after="0" w:line="240" w:lineRule="auto"/>
              <w:jc w:val="center"/>
              <w:rPr>
                <w:rFonts w:ascii="Times New Roman" w:eastAsia="Times New Roman" w:hAnsi="Times New Roman" w:cs="Times New Roman"/>
                <w:b/>
                <w:bCs/>
                <w:kern w:val="0"/>
                <w:lang w:eastAsia="hr-HR"/>
                <w14:ligatures w14:val="none"/>
              </w:rPr>
            </w:pPr>
            <w:r w:rsidRPr="00422587">
              <w:rPr>
                <w:rFonts w:ascii="Times New Roman" w:eastAsia="Times New Roman" w:hAnsi="Times New Roman" w:cs="Times New Roman"/>
                <w:b/>
                <w:bCs/>
                <w:kern w:val="0"/>
                <w:lang w:eastAsia="hr-HR"/>
                <w14:ligatures w14:val="none"/>
              </w:rPr>
              <w:t>II. zona</w:t>
            </w:r>
          </w:p>
        </w:tc>
        <w:tc>
          <w:tcPr>
            <w:tcW w:w="0" w:type="auto"/>
            <w:vAlign w:val="center"/>
            <w:hideMark/>
          </w:tcPr>
          <w:p w14:paraId="46804520" w14:textId="77777777" w:rsidR="00056BD6" w:rsidRPr="00422587" w:rsidRDefault="00056BD6" w:rsidP="00056BD6">
            <w:pPr>
              <w:spacing w:after="0" w:line="240" w:lineRule="auto"/>
              <w:jc w:val="center"/>
              <w:rPr>
                <w:rFonts w:ascii="Times New Roman" w:eastAsia="Times New Roman" w:hAnsi="Times New Roman" w:cs="Times New Roman"/>
                <w:b/>
                <w:bCs/>
                <w:kern w:val="0"/>
                <w:lang w:eastAsia="hr-HR"/>
                <w14:ligatures w14:val="none"/>
              </w:rPr>
            </w:pPr>
            <w:r w:rsidRPr="00422587">
              <w:rPr>
                <w:rFonts w:ascii="Times New Roman" w:eastAsia="Times New Roman" w:hAnsi="Times New Roman" w:cs="Times New Roman"/>
                <w:b/>
                <w:bCs/>
                <w:kern w:val="0"/>
                <w:lang w:eastAsia="hr-HR"/>
                <w14:ligatures w14:val="none"/>
              </w:rPr>
              <w:t>III. zona</w:t>
            </w:r>
          </w:p>
        </w:tc>
        <w:tc>
          <w:tcPr>
            <w:tcW w:w="0" w:type="auto"/>
            <w:vAlign w:val="center"/>
            <w:hideMark/>
          </w:tcPr>
          <w:p w14:paraId="41E8AF7F" w14:textId="77777777" w:rsidR="00056BD6" w:rsidRPr="00422587" w:rsidRDefault="00056BD6" w:rsidP="00056BD6">
            <w:pPr>
              <w:spacing w:after="0" w:line="240" w:lineRule="auto"/>
              <w:jc w:val="center"/>
              <w:rPr>
                <w:rFonts w:ascii="Times New Roman" w:eastAsia="Times New Roman" w:hAnsi="Times New Roman" w:cs="Times New Roman"/>
                <w:b/>
                <w:bCs/>
                <w:kern w:val="0"/>
                <w:lang w:eastAsia="hr-HR"/>
                <w14:ligatures w14:val="none"/>
              </w:rPr>
            </w:pPr>
            <w:r w:rsidRPr="00422587">
              <w:rPr>
                <w:rFonts w:ascii="Times New Roman" w:eastAsia="Times New Roman" w:hAnsi="Times New Roman" w:cs="Times New Roman"/>
                <w:b/>
                <w:bCs/>
                <w:kern w:val="0"/>
                <w:lang w:eastAsia="hr-HR"/>
                <w14:ligatures w14:val="none"/>
              </w:rPr>
              <w:t>IV. zona</w:t>
            </w:r>
          </w:p>
        </w:tc>
      </w:tr>
      <w:tr w:rsidR="00056BD6" w:rsidRPr="00422587" w14:paraId="18240C52" w14:textId="77777777">
        <w:trPr>
          <w:tblCellSpacing w:w="15" w:type="dxa"/>
        </w:trPr>
        <w:tc>
          <w:tcPr>
            <w:tcW w:w="0" w:type="auto"/>
            <w:vAlign w:val="center"/>
            <w:hideMark/>
          </w:tcPr>
          <w:p w14:paraId="4A76337A"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Trgovina i ugostiteljstvo, Kn = 10,00</w:t>
            </w:r>
          </w:p>
        </w:tc>
        <w:tc>
          <w:tcPr>
            <w:tcW w:w="0" w:type="auto"/>
            <w:vAlign w:val="center"/>
            <w:hideMark/>
          </w:tcPr>
          <w:p w14:paraId="33A1A111"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294,40 €</w:t>
            </w:r>
          </w:p>
        </w:tc>
        <w:tc>
          <w:tcPr>
            <w:tcW w:w="0" w:type="auto"/>
            <w:vAlign w:val="center"/>
            <w:hideMark/>
          </w:tcPr>
          <w:p w14:paraId="5AACE988"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264,96 €</w:t>
            </w:r>
          </w:p>
        </w:tc>
        <w:tc>
          <w:tcPr>
            <w:tcW w:w="0" w:type="auto"/>
            <w:vAlign w:val="center"/>
            <w:hideMark/>
          </w:tcPr>
          <w:p w14:paraId="3687F6E0"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206,08 €</w:t>
            </w:r>
          </w:p>
        </w:tc>
        <w:tc>
          <w:tcPr>
            <w:tcW w:w="0" w:type="auto"/>
            <w:vAlign w:val="center"/>
            <w:hideMark/>
          </w:tcPr>
          <w:p w14:paraId="1916BB81"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176,64 €</w:t>
            </w:r>
          </w:p>
        </w:tc>
      </w:tr>
      <w:tr w:rsidR="00056BD6" w:rsidRPr="00422587" w14:paraId="3334EADD" w14:textId="77777777">
        <w:trPr>
          <w:tblCellSpacing w:w="15" w:type="dxa"/>
        </w:trPr>
        <w:tc>
          <w:tcPr>
            <w:tcW w:w="0" w:type="auto"/>
            <w:vAlign w:val="center"/>
            <w:hideMark/>
          </w:tcPr>
          <w:p w14:paraId="39F97211"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Proizvodnja, Kn = 3,50</w:t>
            </w:r>
          </w:p>
        </w:tc>
        <w:tc>
          <w:tcPr>
            <w:tcW w:w="0" w:type="auto"/>
            <w:vAlign w:val="center"/>
            <w:hideMark/>
          </w:tcPr>
          <w:p w14:paraId="3199CC92"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103,04 €</w:t>
            </w:r>
          </w:p>
        </w:tc>
        <w:tc>
          <w:tcPr>
            <w:tcW w:w="0" w:type="auto"/>
            <w:vAlign w:val="center"/>
            <w:hideMark/>
          </w:tcPr>
          <w:p w14:paraId="7449C112"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92,74 €</w:t>
            </w:r>
          </w:p>
        </w:tc>
        <w:tc>
          <w:tcPr>
            <w:tcW w:w="0" w:type="auto"/>
            <w:vAlign w:val="center"/>
            <w:hideMark/>
          </w:tcPr>
          <w:p w14:paraId="4C80CD0B"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72,13 €</w:t>
            </w:r>
          </w:p>
        </w:tc>
        <w:tc>
          <w:tcPr>
            <w:tcW w:w="0" w:type="auto"/>
            <w:vAlign w:val="center"/>
            <w:hideMark/>
          </w:tcPr>
          <w:p w14:paraId="0447026E"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61,82 €</w:t>
            </w:r>
          </w:p>
        </w:tc>
      </w:tr>
      <w:tr w:rsidR="00056BD6" w:rsidRPr="00422587" w14:paraId="5363171E" w14:textId="77777777">
        <w:trPr>
          <w:tblCellSpacing w:w="15" w:type="dxa"/>
        </w:trPr>
        <w:tc>
          <w:tcPr>
            <w:tcW w:w="0" w:type="auto"/>
            <w:vAlign w:val="center"/>
            <w:hideMark/>
          </w:tcPr>
          <w:p w14:paraId="1022DCE8"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Radionica i skladište, Kn = 6,00</w:t>
            </w:r>
          </w:p>
        </w:tc>
        <w:tc>
          <w:tcPr>
            <w:tcW w:w="0" w:type="auto"/>
            <w:vAlign w:val="center"/>
            <w:hideMark/>
          </w:tcPr>
          <w:p w14:paraId="248161BC"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176,64 €</w:t>
            </w:r>
          </w:p>
        </w:tc>
        <w:tc>
          <w:tcPr>
            <w:tcW w:w="0" w:type="auto"/>
            <w:vAlign w:val="center"/>
            <w:hideMark/>
          </w:tcPr>
          <w:p w14:paraId="128F3EA5"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158,98 €</w:t>
            </w:r>
          </w:p>
        </w:tc>
        <w:tc>
          <w:tcPr>
            <w:tcW w:w="0" w:type="auto"/>
            <w:vAlign w:val="center"/>
            <w:hideMark/>
          </w:tcPr>
          <w:p w14:paraId="1C62EF26"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123,65 €</w:t>
            </w:r>
          </w:p>
        </w:tc>
        <w:tc>
          <w:tcPr>
            <w:tcW w:w="0" w:type="auto"/>
            <w:vAlign w:val="center"/>
            <w:hideMark/>
          </w:tcPr>
          <w:p w14:paraId="1A7D48EB"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105,98 €</w:t>
            </w:r>
          </w:p>
        </w:tc>
      </w:tr>
    </w:tbl>
    <w:p w14:paraId="1B7AB923" w14:textId="77777777" w:rsidR="00056BD6" w:rsidRPr="00422587" w:rsidRDefault="00056BD6" w:rsidP="00056BD6">
      <w:pPr>
        <w:spacing w:before="100" w:beforeAutospacing="1" w:after="100" w:afterAutospacing="1" w:line="240" w:lineRule="auto"/>
        <w:outlineLvl w:val="3"/>
        <w:rPr>
          <w:rFonts w:ascii="Times New Roman" w:eastAsia="Times New Roman" w:hAnsi="Times New Roman" w:cs="Times New Roman"/>
          <w:b/>
          <w:bCs/>
          <w:kern w:val="0"/>
          <w:lang w:eastAsia="hr-HR"/>
          <w14:ligatures w14:val="none"/>
        </w:rPr>
      </w:pPr>
      <w:r w:rsidRPr="00422587">
        <w:rPr>
          <w:rFonts w:ascii="Times New Roman" w:eastAsia="Times New Roman" w:hAnsi="Times New Roman" w:cs="Times New Roman"/>
          <w:b/>
          <w:bCs/>
          <w:kern w:val="0"/>
          <w:lang w:eastAsia="hr-HR"/>
          <w14:ligatures w14:val="none"/>
        </w:rPr>
        <w:t>Prosječno mjesečno povećanje prema namjeni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44"/>
        <w:gridCol w:w="780"/>
        <w:gridCol w:w="847"/>
        <w:gridCol w:w="941"/>
        <w:gridCol w:w="942"/>
      </w:tblGrid>
      <w:tr w:rsidR="00056BD6" w:rsidRPr="00422587" w14:paraId="27DF30D3" w14:textId="77777777">
        <w:trPr>
          <w:tblCellSpacing w:w="15" w:type="dxa"/>
        </w:trPr>
        <w:tc>
          <w:tcPr>
            <w:tcW w:w="0" w:type="auto"/>
            <w:vAlign w:val="center"/>
            <w:hideMark/>
          </w:tcPr>
          <w:p w14:paraId="4E1D2205" w14:textId="77777777" w:rsidR="00056BD6" w:rsidRPr="00422587" w:rsidRDefault="00056BD6" w:rsidP="00056BD6">
            <w:pPr>
              <w:spacing w:after="0" w:line="240" w:lineRule="auto"/>
              <w:jc w:val="center"/>
              <w:rPr>
                <w:rFonts w:ascii="Times New Roman" w:eastAsia="Times New Roman" w:hAnsi="Times New Roman" w:cs="Times New Roman"/>
                <w:b/>
                <w:bCs/>
                <w:kern w:val="0"/>
                <w:lang w:eastAsia="hr-HR"/>
                <w14:ligatures w14:val="none"/>
              </w:rPr>
            </w:pPr>
            <w:r w:rsidRPr="00422587">
              <w:rPr>
                <w:rFonts w:ascii="Times New Roman" w:eastAsia="Times New Roman" w:hAnsi="Times New Roman" w:cs="Times New Roman"/>
                <w:b/>
                <w:bCs/>
                <w:kern w:val="0"/>
                <w:lang w:eastAsia="hr-HR"/>
                <w14:ligatures w14:val="none"/>
              </w:rPr>
              <w:t>Namjena</w:t>
            </w:r>
          </w:p>
        </w:tc>
        <w:tc>
          <w:tcPr>
            <w:tcW w:w="0" w:type="auto"/>
            <w:vAlign w:val="center"/>
            <w:hideMark/>
          </w:tcPr>
          <w:p w14:paraId="4EAEFD65" w14:textId="77777777" w:rsidR="00056BD6" w:rsidRPr="00422587" w:rsidRDefault="00056BD6" w:rsidP="00056BD6">
            <w:pPr>
              <w:spacing w:after="0" w:line="240" w:lineRule="auto"/>
              <w:jc w:val="center"/>
              <w:rPr>
                <w:rFonts w:ascii="Times New Roman" w:eastAsia="Times New Roman" w:hAnsi="Times New Roman" w:cs="Times New Roman"/>
                <w:b/>
                <w:bCs/>
                <w:kern w:val="0"/>
                <w:lang w:eastAsia="hr-HR"/>
                <w14:ligatures w14:val="none"/>
              </w:rPr>
            </w:pPr>
            <w:r w:rsidRPr="00422587">
              <w:rPr>
                <w:rFonts w:ascii="Times New Roman" w:eastAsia="Times New Roman" w:hAnsi="Times New Roman" w:cs="Times New Roman"/>
                <w:b/>
                <w:bCs/>
                <w:kern w:val="0"/>
                <w:lang w:eastAsia="hr-HR"/>
                <w14:ligatures w14:val="none"/>
              </w:rPr>
              <w:t>I. zona</w:t>
            </w:r>
          </w:p>
        </w:tc>
        <w:tc>
          <w:tcPr>
            <w:tcW w:w="0" w:type="auto"/>
            <w:vAlign w:val="center"/>
            <w:hideMark/>
          </w:tcPr>
          <w:p w14:paraId="2A3BF4E4" w14:textId="77777777" w:rsidR="00056BD6" w:rsidRPr="00422587" w:rsidRDefault="00056BD6" w:rsidP="00056BD6">
            <w:pPr>
              <w:spacing w:after="0" w:line="240" w:lineRule="auto"/>
              <w:jc w:val="center"/>
              <w:rPr>
                <w:rFonts w:ascii="Times New Roman" w:eastAsia="Times New Roman" w:hAnsi="Times New Roman" w:cs="Times New Roman"/>
                <w:b/>
                <w:bCs/>
                <w:kern w:val="0"/>
                <w:lang w:eastAsia="hr-HR"/>
                <w14:ligatures w14:val="none"/>
              </w:rPr>
            </w:pPr>
            <w:r w:rsidRPr="00422587">
              <w:rPr>
                <w:rFonts w:ascii="Times New Roman" w:eastAsia="Times New Roman" w:hAnsi="Times New Roman" w:cs="Times New Roman"/>
                <w:b/>
                <w:bCs/>
                <w:kern w:val="0"/>
                <w:lang w:eastAsia="hr-HR"/>
                <w14:ligatures w14:val="none"/>
              </w:rPr>
              <w:t>II. zona</w:t>
            </w:r>
          </w:p>
        </w:tc>
        <w:tc>
          <w:tcPr>
            <w:tcW w:w="0" w:type="auto"/>
            <w:vAlign w:val="center"/>
            <w:hideMark/>
          </w:tcPr>
          <w:p w14:paraId="592EA991" w14:textId="77777777" w:rsidR="00056BD6" w:rsidRPr="00422587" w:rsidRDefault="00056BD6" w:rsidP="00056BD6">
            <w:pPr>
              <w:spacing w:after="0" w:line="240" w:lineRule="auto"/>
              <w:jc w:val="center"/>
              <w:rPr>
                <w:rFonts w:ascii="Times New Roman" w:eastAsia="Times New Roman" w:hAnsi="Times New Roman" w:cs="Times New Roman"/>
                <w:b/>
                <w:bCs/>
                <w:kern w:val="0"/>
                <w:lang w:eastAsia="hr-HR"/>
                <w14:ligatures w14:val="none"/>
              </w:rPr>
            </w:pPr>
            <w:r w:rsidRPr="00422587">
              <w:rPr>
                <w:rFonts w:ascii="Times New Roman" w:eastAsia="Times New Roman" w:hAnsi="Times New Roman" w:cs="Times New Roman"/>
                <w:b/>
                <w:bCs/>
                <w:kern w:val="0"/>
                <w:lang w:eastAsia="hr-HR"/>
                <w14:ligatures w14:val="none"/>
              </w:rPr>
              <w:t>III. zona</w:t>
            </w:r>
          </w:p>
        </w:tc>
        <w:tc>
          <w:tcPr>
            <w:tcW w:w="0" w:type="auto"/>
            <w:vAlign w:val="center"/>
            <w:hideMark/>
          </w:tcPr>
          <w:p w14:paraId="6E2BF83D" w14:textId="77777777" w:rsidR="00056BD6" w:rsidRPr="00422587" w:rsidRDefault="00056BD6" w:rsidP="00056BD6">
            <w:pPr>
              <w:spacing w:after="0" w:line="240" w:lineRule="auto"/>
              <w:jc w:val="center"/>
              <w:rPr>
                <w:rFonts w:ascii="Times New Roman" w:eastAsia="Times New Roman" w:hAnsi="Times New Roman" w:cs="Times New Roman"/>
                <w:b/>
                <w:bCs/>
                <w:kern w:val="0"/>
                <w:lang w:eastAsia="hr-HR"/>
                <w14:ligatures w14:val="none"/>
              </w:rPr>
            </w:pPr>
            <w:r w:rsidRPr="00422587">
              <w:rPr>
                <w:rFonts w:ascii="Times New Roman" w:eastAsia="Times New Roman" w:hAnsi="Times New Roman" w:cs="Times New Roman"/>
                <w:b/>
                <w:bCs/>
                <w:kern w:val="0"/>
                <w:lang w:eastAsia="hr-HR"/>
                <w14:ligatures w14:val="none"/>
              </w:rPr>
              <w:t>IV. zona</w:t>
            </w:r>
          </w:p>
        </w:tc>
      </w:tr>
      <w:tr w:rsidR="00056BD6" w:rsidRPr="00422587" w14:paraId="162D927E" w14:textId="77777777">
        <w:trPr>
          <w:tblCellSpacing w:w="15" w:type="dxa"/>
        </w:trPr>
        <w:tc>
          <w:tcPr>
            <w:tcW w:w="0" w:type="auto"/>
            <w:vAlign w:val="center"/>
            <w:hideMark/>
          </w:tcPr>
          <w:p w14:paraId="3860E173"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Trgovina i ugostiteljstvo, Kn = 10,00</w:t>
            </w:r>
          </w:p>
        </w:tc>
        <w:tc>
          <w:tcPr>
            <w:tcW w:w="0" w:type="auto"/>
            <w:vAlign w:val="center"/>
            <w:hideMark/>
          </w:tcPr>
          <w:p w14:paraId="77B5C799"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24,53 €</w:t>
            </w:r>
          </w:p>
        </w:tc>
        <w:tc>
          <w:tcPr>
            <w:tcW w:w="0" w:type="auto"/>
            <w:vAlign w:val="center"/>
            <w:hideMark/>
          </w:tcPr>
          <w:p w14:paraId="13B73C16"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22,08 €</w:t>
            </w:r>
          </w:p>
        </w:tc>
        <w:tc>
          <w:tcPr>
            <w:tcW w:w="0" w:type="auto"/>
            <w:vAlign w:val="center"/>
            <w:hideMark/>
          </w:tcPr>
          <w:p w14:paraId="7788C313"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17,17 €</w:t>
            </w:r>
          </w:p>
        </w:tc>
        <w:tc>
          <w:tcPr>
            <w:tcW w:w="0" w:type="auto"/>
            <w:vAlign w:val="center"/>
            <w:hideMark/>
          </w:tcPr>
          <w:p w14:paraId="54B09AC0"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14,72 €</w:t>
            </w:r>
          </w:p>
        </w:tc>
      </w:tr>
      <w:tr w:rsidR="00056BD6" w:rsidRPr="00422587" w14:paraId="1C49420D" w14:textId="77777777">
        <w:trPr>
          <w:tblCellSpacing w:w="15" w:type="dxa"/>
        </w:trPr>
        <w:tc>
          <w:tcPr>
            <w:tcW w:w="0" w:type="auto"/>
            <w:vAlign w:val="center"/>
            <w:hideMark/>
          </w:tcPr>
          <w:p w14:paraId="6D599DF9"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Proizvodnja, Kn = 3,50</w:t>
            </w:r>
          </w:p>
        </w:tc>
        <w:tc>
          <w:tcPr>
            <w:tcW w:w="0" w:type="auto"/>
            <w:vAlign w:val="center"/>
            <w:hideMark/>
          </w:tcPr>
          <w:p w14:paraId="220E4E1F"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8,59 €</w:t>
            </w:r>
          </w:p>
        </w:tc>
        <w:tc>
          <w:tcPr>
            <w:tcW w:w="0" w:type="auto"/>
            <w:vAlign w:val="center"/>
            <w:hideMark/>
          </w:tcPr>
          <w:p w14:paraId="19D7CE0F"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7,73 €</w:t>
            </w:r>
          </w:p>
        </w:tc>
        <w:tc>
          <w:tcPr>
            <w:tcW w:w="0" w:type="auto"/>
            <w:vAlign w:val="center"/>
            <w:hideMark/>
          </w:tcPr>
          <w:p w14:paraId="0708E447"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6,01 €</w:t>
            </w:r>
          </w:p>
        </w:tc>
        <w:tc>
          <w:tcPr>
            <w:tcW w:w="0" w:type="auto"/>
            <w:vAlign w:val="center"/>
            <w:hideMark/>
          </w:tcPr>
          <w:p w14:paraId="7B2A2E90"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5,15 €</w:t>
            </w:r>
          </w:p>
        </w:tc>
      </w:tr>
      <w:tr w:rsidR="00056BD6" w:rsidRPr="00422587" w14:paraId="1EBE437F" w14:textId="77777777">
        <w:trPr>
          <w:tblCellSpacing w:w="15" w:type="dxa"/>
        </w:trPr>
        <w:tc>
          <w:tcPr>
            <w:tcW w:w="0" w:type="auto"/>
            <w:vAlign w:val="center"/>
            <w:hideMark/>
          </w:tcPr>
          <w:p w14:paraId="4177AA64"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Radionica i skladište, Kn = 6,00</w:t>
            </w:r>
          </w:p>
        </w:tc>
        <w:tc>
          <w:tcPr>
            <w:tcW w:w="0" w:type="auto"/>
            <w:vAlign w:val="center"/>
            <w:hideMark/>
          </w:tcPr>
          <w:p w14:paraId="26D0849D"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14,72 €</w:t>
            </w:r>
          </w:p>
        </w:tc>
        <w:tc>
          <w:tcPr>
            <w:tcW w:w="0" w:type="auto"/>
            <w:vAlign w:val="center"/>
            <w:hideMark/>
          </w:tcPr>
          <w:p w14:paraId="287C3D0C"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13,25 €</w:t>
            </w:r>
          </w:p>
        </w:tc>
        <w:tc>
          <w:tcPr>
            <w:tcW w:w="0" w:type="auto"/>
            <w:vAlign w:val="center"/>
            <w:hideMark/>
          </w:tcPr>
          <w:p w14:paraId="413ED02C"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10,30 €</w:t>
            </w:r>
          </w:p>
        </w:tc>
        <w:tc>
          <w:tcPr>
            <w:tcW w:w="0" w:type="auto"/>
            <w:vAlign w:val="center"/>
            <w:hideMark/>
          </w:tcPr>
          <w:p w14:paraId="21C50785" w14:textId="77777777" w:rsidR="00056BD6" w:rsidRPr="00422587" w:rsidRDefault="00056BD6" w:rsidP="00056BD6">
            <w:pPr>
              <w:spacing w:after="0"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8,83 €</w:t>
            </w:r>
          </w:p>
        </w:tc>
      </w:tr>
    </w:tbl>
    <w:p w14:paraId="0430323C" w14:textId="77777777" w:rsidR="00056BD6" w:rsidRPr="00422587" w:rsidRDefault="00056BD6" w:rsidP="00056BD6">
      <w:pPr>
        <w:spacing w:before="100" w:beforeAutospacing="1" w:after="100" w:afterAutospacing="1"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Mjesečni iznosi predstavljaju informativnu dvanaestinu godišnjeg povećanja, zaokruženu na dvije decimale. Stvarni iznos obveze ovisi o podacima o nekretnini i načinu obračuna koji se primjenjuje prema važećim propisima i gradskim odlukama.</w:t>
      </w:r>
    </w:p>
    <w:p w14:paraId="28249474" w14:textId="77777777" w:rsidR="00422587" w:rsidRDefault="00422587" w:rsidP="00056BD6">
      <w:pPr>
        <w:spacing w:before="100" w:beforeAutospacing="1" w:after="100" w:afterAutospacing="1" w:line="240" w:lineRule="auto"/>
        <w:outlineLvl w:val="1"/>
        <w:rPr>
          <w:rFonts w:ascii="Times New Roman" w:eastAsia="Times New Roman" w:hAnsi="Times New Roman" w:cs="Times New Roman"/>
          <w:b/>
          <w:bCs/>
          <w:kern w:val="0"/>
          <w:sz w:val="28"/>
          <w:szCs w:val="28"/>
          <w:lang w:eastAsia="hr-HR"/>
          <w14:ligatures w14:val="none"/>
        </w:rPr>
      </w:pPr>
    </w:p>
    <w:p w14:paraId="4803EC22" w14:textId="3C5BC86B" w:rsidR="00056BD6" w:rsidRPr="00422587" w:rsidRDefault="00056BD6" w:rsidP="00056BD6">
      <w:pPr>
        <w:spacing w:before="100" w:beforeAutospacing="1" w:after="100" w:afterAutospacing="1" w:line="240" w:lineRule="auto"/>
        <w:outlineLvl w:val="1"/>
        <w:rPr>
          <w:rFonts w:ascii="Times New Roman" w:eastAsia="Times New Roman" w:hAnsi="Times New Roman" w:cs="Times New Roman"/>
          <w:b/>
          <w:bCs/>
          <w:kern w:val="0"/>
          <w:sz w:val="28"/>
          <w:szCs w:val="28"/>
          <w:lang w:eastAsia="hr-HR"/>
          <w14:ligatures w14:val="none"/>
        </w:rPr>
      </w:pPr>
      <w:r w:rsidRPr="00422587">
        <w:rPr>
          <w:rFonts w:ascii="Times New Roman" w:eastAsia="Times New Roman" w:hAnsi="Times New Roman" w:cs="Times New Roman"/>
          <w:b/>
          <w:bCs/>
          <w:kern w:val="0"/>
          <w:sz w:val="28"/>
          <w:szCs w:val="28"/>
          <w:lang w:eastAsia="hr-HR"/>
          <w14:ligatures w14:val="none"/>
        </w:rPr>
        <w:lastRenderedPageBreak/>
        <w:t>7. Očekivani učinci predložene mjere</w:t>
      </w:r>
    </w:p>
    <w:p w14:paraId="5986A101" w14:textId="77777777" w:rsidR="00056BD6" w:rsidRPr="00422587" w:rsidRDefault="00056BD6" w:rsidP="00056BD6">
      <w:pPr>
        <w:spacing w:before="100" w:beforeAutospacing="1" w:after="100" w:afterAutospacing="1"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Povećanje vrijednosti boda trebalo bi pridonijeti jačanju prihoda namijenjenih komunalnom sustavu i boljoj predvidljivosti financiranja redovitih aktivnosti održavanja.</w:t>
      </w:r>
    </w:p>
    <w:p w14:paraId="1CDB763D" w14:textId="77777777" w:rsidR="00056BD6" w:rsidRPr="00422587" w:rsidRDefault="00056BD6" w:rsidP="00056BD6">
      <w:pPr>
        <w:spacing w:before="100" w:beforeAutospacing="1" w:after="100" w:afterAutospacing="1"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Dodatna sredstva mogu pridonijeti:</w:t>
      </w:r>
    </w:p>
    <w:p w14:paraId="2A53B197" w14:textId="77777777" w:rsidR="00056BD6" w:rsidRPr="00422587" w:rsidRDefault="00056BD6" w:rsidP="00056BD6">
      <w:pPr>
        <w:numPr>
          <w:ilvl w:val="0"/>
          <w:numId w:val="1"/>
        </w:numPr>
        <w:spacing w:before="100" w:beforeAutospacing="1" w:after="100" w:afterAutospacing="1"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redovitijem održavanju nerazvrstanih cesta, javnih površina i drugih dijelova komunalne infrastrukture;</w:t>
      </w:r>
    </w:p>
    <w:p w14:paraId="67D0C6DE" w14:textId="77777777" w:rsidR="00056BD6" w:rsidRPr="00422587" w:rsidRDefault="00056BD6" w:rsidP="00056BD6">
      <w:pPr>
        <w:numPr>
          <w:ilvl w:val="0"/>
          <w:numId w:val="1"/>
        </w:numPr>
        <w:spacing w:before="100" w:beforeAutospacing="1" w:after="100" w:afterAutospacing="1"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pravodobnoj sanaciji oštećenja i smanjenju rizika od daljnjeg propadanja infrastrukture;</w:t>
      </w:r>
    </w:p>
    <w:p w14:paraId="4F6A2AC2" w14:textId="77777777" w:rsidR="00056BD6" w:rsidRPr="00422587" w:rsidRDefault="00056BD6" w:rsidP="00056BD6">
      <w:pPr>
        <w:numPr>
          <w:ilvl w:val="0"/>
          <w:numId w:val="1"/>
        </w:numPr>
        <w:spacing w:before="100" w:beforeAutospacing="1" w:after="100" w:afterAutospacing="1"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kvalitetnijem planiranju i provedbi aktivnosti utvrđenih programima održavanja;</w:t>
      </w:r>
    </w:p>
    <w:p w14:paraId="36F734D6" w14:textId="77777777" w:rsidR="00056BD6" w:rsidRPr="00422587" w:rsidRDefault="00056BD6" w:rsidP="00056BD6">
      <w:pPr>
        <w:numPr>
          <w:ilvl w:val="0"/>
          <w:numId w:val="1"/>
        </w:numPr>
        <w:spacing w:before="100" w:beforeAutospacing="1" w:after="100" w:afterAutospacing="1"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smanjenju pritiska na druge prihode gradskog proračuna;</w:t>
      </w:r>
    </w:p>
    <w:p w14:paraId="44B2BFD9" w14:textId="77777777" w:rsidR="00056BD6" w:rsidRPr="00422587" w:rsidRDefault="00056BD6" w:rsidP="00056BD6">
      <w:pPr>
        <w:numPr>
          <w:ilvl w:val="0"/>
          <w:numId w:val="1"/>
        </w:numPr>
        <w:spacing w:before="100" w:beforeAutospacing="1" w:after="100" w:afterAutospacing="1" w:line="240" w:lineRule="auto"/>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stabilnijem planiranju komunalnih djelatnosti uz transparentno praćenje prihoda i rashoda.</w:t>
      </w:r>
    </w:p>
    <w:p w14:paraId="1876B3F6" w14:textId="77777777" w:rsidR="00056BD6" w:rsidRPr="00422587" w:rsidRDefault="00056BD6" w:rsidP="007A2132">
      <w:p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422587">
        <w:rPr>
          <w:rFonts w:ascii="Times New Roman" w:eastAsia="Times New Roman" w:hAnsi="Times New Roman" w:cs="Times New Roman"/>
          <w:kern w:val="0"/>
          <w:lang w:eastAsia="hr-HR"/>
          <w14:ligatures w14:val="none"/>
        </w:rPr>
        <w:t>Povećanje vrijednosti boda potrebno je promatrati kao jednu od mjera financijskog usklađivanja s potrebama komunalnog sustava. Ostvarenje planiranih aktivnosti i dalje će zahtijevati odgovorno upravljanje rashodima, određivanje prioriteta i korištenje drugih raspoloživih izvora financiranja.</w:t>
      </w:r>
    </w:p>
    <w:p w14:paraId="1CE2ACD3" w14:textId="77777777" w:rsidR="00056BD6" w:rsidRPr="00422587" w:rsidRDefault="00056BD6" w:rsidP="00056BD6">
      <w:pPr>
        <w:spacing w:before="100" w:beforeAutospacing="1" w:after="100" w:afterAutospacing="1" w:line="240" w:lineRule="auto"/>
        <w:outlineLvl w:val="1"/>
        <w:rPr>
          <w:rFonts w:ascii="Times New Roman" w:eastAsia="Times New Roman" w:hAnsi="Times New Roman" w:cs="Times New Roman"/>
          <w:b/>
          <w:bCs/>
          <w:kern w:val="0"/>
          <w:sz w:val="28"/>
          <w:szCs w:val="28"/>
          <w:lang w:eastAsia="hr-HR"/>
          <w14:ligatures w14:val="none"/>
        </w:rPr>
      </w:pPr>
      <w:r w:rsidRPr="00422587">
        <w:rPr>
          <w:rFonts w:ascii="Times New Roman" w:eastAsia="Times New Roman" w:hAnsi="Times New Roman" w:cs="Times New Roman"/>
          <w:b/>
          <w:bCs/>
          <w:kern w:val="0"/>
          <w:sz w:val="28"/>
          <w:szCs w:val="28"/>
          <w:lang w:eastAsia="hr-HR"/>
          <w14:ligatures w14:val="none"/>
        </w:rPr>
        <w:t>8. Zaključak</w:t>
      </w:r>
    </w:p>
    <w:p w14:paraId="382EBD46" w14:textId="39E33FCE" w:rsidR="00AF61ED" w:rsidRPr="00AF61ED" w:rsidRDefault="00AF61ED" w:rsidP="00AF61ED">
      <w:p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AF61ED">
        <w:rPr>
          <w:rFonts w:ascii="Times New Roman" w:hAnsi="Times New Roman" w:cs="Times New Roman"/>
        </w:rPr>
        <w:t>Cjelokupna analiza i zaključak temelje se na podacima o izvršenju proračuna za 2025. godinu, budući da oni predstavljaju konačne, provjerljive i vjerodostojne podatke o ostvarenim prihodima i rashodima.</w:t>
      </w:r>
    </w:p>
    <w:p w14:paraId="1A641164" w14:textId="560C7D46" w:rsidR="00AF61ED" w:rsidRPr="00AF61ED" w:rsidRDefault="00AF61ED" w:rsidP="00AF61ED">
      <w:p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AF61ED">
        <w:rPr>
          <w:rFonts w:ascii="Times New Roman" w:eastAsia="Times New Roman" w:hAnsi="Times New Roman" w:cs="Times New Roman"/>
          <w:kern w:val="0"/>
          <w:lang w:eastAsia="hr-HR"/>
          <w14:ligatures w14:val="none"/>
        </w:rPr>
        <w:t>Podaci o izvršenju proračuna za 2025. godinu pokazuju da su rashodi održavanja komunalne infrastrukture iznosili 1.251.792,67 eura, od čega je 942.460,15 eura financirano iz prihoda od komunalne naknade, a 309.332,52 eura iz drugih izvora. Navedeni podaci potvrđuju značajnu ulogu komunalne naknade u osiguravanju sredstava za redovito održavanje komunalne infrastrukture, ali istodobno ukazuju i na potrebu korištenja dodatnih izvora financiranja radi podmirivanja ukupnih troškova komunalnih djelatnosti.</w:t>
      </w:r>
    </w:p>
    <w:p w14:paraId="5863DBBB" w14:textId="77777777" w:rsidR="00AF61ED" w:rsidRPr="00AF61ED" w:rsidRDefault="00AF61ED" w:rsidP="00AF61ED">
      <w:p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AF61ED">
        <w:rPr>
          <w:rFonts w:ascii="Times New Roman" w:eastAsia="Times New Roman" w:hAnsi="Times New Roman" w:cs="Times New Roman"/>
          <w:kern w:val="0"/>
          <w:lang w:eastAsia="hr-HR"/>
          <w14:ligatures w14:val="none"/>
        </w:rPr>
        <w:t>Pri ocjeni opravdanosti predloženog povećanja vrijednosti boda potrebno je uzeti u obzir i kretanja troškova u proteklom razdoblju. Rast cijena građevinskog i drugog materijala, energenata, usluga, opreme i troškova rada utječe na troškove izvođenja radova, nabave potrebnih materijala i usluga te redovitog održavanja komunalne infrastrukture. Posljedično, uz nepromijenjenu razinu raspoloživih prihoda, povećani troškovi otežavaju održavanje dosadašnje razine komunalnog standarda i provedbu planiranih aktivnosti u potrebnom opsegu.</w:t>
      </w:r>
    </w:p>
    <w:p w14:paraId="09F17BF7" w14:textId="77777777" w:rsidR="00AF61ED" w:rsidRPr="00AF61ED" w:rsidRDefault="00AF61ED" w:rsidP="00AF61ED">
      <w:p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AF61ED">
        <w:rPr>
          <w:rFonts w:ascii="Times New Roman" w:eastAsia="Times New Roman" w:hAnsi="Times New Roman" w:cs="Times New Roman"/>
          <w:kern w:val="0"/>
          <w:lang w:eastAsia="hr-HR"/>
          <w14:ligatures w14:val="none"/>
        </w:rPr>
        <w:t>Osim troškova održavanja postojeće infrastrukture, pri planiranju financijskih sredstava potrebno je uzeti u obzir i razvojne potrebe Grada, uključujući izgradnju nove komunalne infrastrukture te financijske obveze Grada povezane sa sudjelovanjem u sufinanciranju pojedinih infrastrukturnih projekata, kada su takve obveze utvrđene odgovarajućim programima, ugovorima ili drugim relevantnim aktima. Stoga se opravdanost povećanja prihodne osnove razmatra u kontekstu ukupnih potreba komunalnog sustava, troškova njihova financiranja i drugih raspoloživih izvora prihoda.</w:t>
      </w:r>
    </w:p>
    <w:p w14:paraId="102D5CD8" w14:textId="77777777" w:rsidR="00AF61ED" w:rsidRPr="00AF61ED" w:rsidRDefault="00AF61ED" w:rsidP="00AF61ED">
      <w:p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AF61ED">
        <w:rPr>
          <w:rFonts w:ascii="Times New Roman" w:eastAsia="Times New Roman" w:hAnsi="Times New Roman" w:cs="Times New Roman"/>
          <w:kern w:val="0"/>
          <w:lang w:eastAsia="hr-HR"/>
          <w14:ligatures w14:val="none"/>
        </w:rPr>
        <w:lastRenderedPageBreak/>
        <w:t>Slijedom navedenoga, predlaže se Gradskom vijeću Grada Delnica donošenje Odluke o vrijednosti boda za obračun komunalne naknade kojom bi se vrijednost boda povećala s dosadašnjih 0,9556 eura na 1,25 eura po četvornom metru korisne površine godišnje, s primjenom od 1. siječnja 2027. godine.</w:t>
      </w:r>
    </w:p>
    <w:p w14:paraId="374F8118" w14:textId="77777777" w:rsidR="00AF61ED" w:rsidRPr="00AF61ED" w:rsidRDefault="00AF61ED" w:rsidP="00AF61ED">
      <w:p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AF61ED">
        <w:rPr>
          <w:rFonts w:ascii="Times New Roman" w:eastAsia="Times New Roman" w:hAnsi="Times New Roman" w:cs="Times New Roman"/>
          <w:kern w:val="0"/>
          <w:lang w:eastAsia="hr-HR"/>
          <w14:ligatures w14:val="none"/>
        </w:rPr>
        <w:t>Predloženo povećanje ima za cilj ojačati prihodnu osnovu za financiranje komunalnih djelatnosti, ublažiti pritisak rasta troškova na mogućnost provedbe planiranih aktivnosti te pridonijeti očuvanju funkcionalnosti i odgovarajuće razine održavanja postojeće komunalne infrastrukture. Istodobno, povećanje prihoda trebalo bi pridonijeti stabilnijem planiranju rashoda i održivijem upravljanju komunalnim sustavom, uz uvažavanje ostalih raspoloživih izvora financiranja i proračunskih mogućnosti Grada.</w:t>
      </w:r>
    </w:p>
    <w:p w14:paraId="3C55794A" w14:textId="77777777" w:rsidR="00AF61ED" w:rsidRPr="00AF61ED" w:rsidRDefault="00AF61ED" w:rsidP="00AF61ED">
      <w:p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AF61ED">
        <w:rPr>
          <w:rFonts w:ascii="Times New Roman" w:eastAsia="Times New Roman" w:hAnsi="Times New Roman" w:cs="Times New Roman"/>
          <w:kern w:val="0"/>
          <w:lang w:eastAsia="hr-HR"/>
          <w14:ligatures w14:val="none"/>
        </w:rPr>
        <w:t>Uzimajući u obzir ostvarene rashode, planirane potrebe, kretanje troškova u proteklom razdoblju i potrebu osiguravanja stabilnih prihoda za financiranje komunalnih djelatnosti, predloženo povećanje vrijednosti boda predstavlja mjeru usmjerenu na jačanje financijske održivosti komunalnog sustava Grada Delnica i stvaranje kvalitetnijih uvjeta za kontinuirano održavanje i daljnji razvoj komunalne infrastrukture.</w:t>
      </w:r>
    </w:p>
    <w:p w14:paraId="10B667F4" w14:textId="3FCD0383" w:rsidR="00056BD6" w:rsidRPr="007A2132" w:rsidRDefault="00056BD6" w:rsidP="00056BD6">
      <w:pPr>
        <w:pStyle w:val="StandardWeb"/>
      </w:pPr>
    </w:p>
    <w:sectPr w:rsidR="00056BD6" w:rsidRPr="007A21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0807FD"/>
    <w:multiLevelType w:val="multilevel"/>
    <w:tmpl w:val="3A2E87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5547436"/>
    <w:multiLevelType w:val="multilevel"/>
    <w:tmpl w:val="11EA9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9222087">
    <w:abstractNumId w:val="1"/>
  </w:num>
  <w:num w:numId="2" w16cid:durableId="1479869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BD6"/>
    <w:rsid w:val="00056BD6"/>
    <w:rsid w:val="000A0FAD"/>
    <w:rsid w:val="00217A1D"/>
    <w:rsid w:val="00217BD6"/>
    <w:rsid w:val="00262C23"/>
    <w:rsid w:val="002B2A75"/>
    <w:rsid w:val="002F3D7F"/>
    <w:rsid w:val="0032038C"/>
    <w:rsid w:val="003C3567"/>
    <w:rsid w:val="00422587"/>
    <w:rsid w:val="00580688"/>
    <w:rsid w:val="007A2132"/>
    <w:rsid w:val="0080297E"/>
    <w:rsid w:val="008B0F76"/>
    <w:rsid w:val="009479E6"/>
    <w:rsid w:val="00A46C17"/>
    <w:rsid w:val="00A806E8"/>
    <w:rsid w:val="00AF61ED"/>
    <w:rsid w:val="00B50BAA"/>
    <w:rsid w:val="00BF2623"/>
    <w:rsid w:val="00C44ED2"/>
    <w:rsid w:val="00C55D41"/>
    <w:rsid w:val="00E61F17"/>
    <w:rsid w:val="00F02AC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F4F01"/>
  <w15:chartTrackingRefBased/>
  <w15:docId w15:val="{E6F444C9-65C1-419F-8A82-8B13421A4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056B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056B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056BD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056BD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056BD6"/>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056BD6"/>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056BD6"/>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056BD6"/>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056BD6"/>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056BD6"/>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056BD6"/>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056BD6"/>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056BD6"/>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056BD6"/>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056BD6"/>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056BD6"/>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056BD6"/>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056BD6"/>
    <w:rPr>
      <w:rFonts w:eastAsiaTheme="majorEastAsia" w:cstheme="majorBidi"/>
      <w:color w:val="272727" w:themeColor="text1" w:themeTint="D8"/>
    </w:rPr>
  </w:style>
  <w:style w:type="paragraph" w:styleId="Naslov">
    <w:name w:val="Title"/>
    <w:basedOn w:val="Normal"/>
    <w:next w:val="Normal"/>
    <w:link w:val="NaslovChar"/>
    <w:uiPriority w:val="10"/>
    <w:qFormat/>
    <w:rsid w:val="00056B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056BD6"/>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056BD6"/>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056BD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056BD6"/>
    <w:pPr>
      <w:spacing w:before="160"/>
      <w:jc w:val="center"/>
    </w:pPr>
    <w:rPr>
      <w:i/>
      <w:iCs/>
      <w:color w:val="404040" w:themeColor="text1" w:themeTint="BF"/>
    </w:rPr>
  </w:style>
  <w:style w:type="character" w:customStyle="1" w:styleId="CitatChar">
    <w:name w:val="Citat Char"/>
    <w:basedOn w:val="Zadanifontodlomka"/>
    <w:link w:val="Citat"/>
    <w:uiPriority w:val="29"/>
    <w:rsid w:val="00056BD6"/>
    <w:rPr>
      <w:i/>
      <w:iCs/>
      <w:color w:val="404040" w:themeColor="text1" w:themeTint="BF"/>
    </w:rPr>
  </w:style>
  <w:style w:type="paragraph" w:styleId="Odlomakpopisa">
    <w:name w:val="List Paragraph"/>
    <w:basedOn w:val="Normal"/>
    <w:uiPriority w:val="34"/>
    <w:qFormat/>
    <w:rsid w:val="00056BD6"/>
    <w:pPr>
      <w:ind w:left="720"/>
      <w:contextualSpacing/>
    </w:pPr>
  </w:style>
  <w:style w:type="character" w:styleId="Jakoisticanje">
    <w:name w:val="Intense Emphasis"/>
    <w:basedOn w:val="Zadanifontodlomka"/>
    <w:uiPriority w:val="21"/>
    <w:qFormat/>
    <w:rsid w:val="00056BD6"/>
    <w:rPr>
      <w:i/>
      <w:iCs/>
      <w:color w:val="0F4761" w:themeColor="accent1" w:themeShade="BF"/>
    </w:rPr>
  </w:style>
  <w:style w:type="paragraph" w:styleId="Naglaencitat">
    <w:name w:val="Intense Quote"/>
    <w:basedOn w:val="Normal"/>
    <w:next w:val="Normal"/>
    <w:link w:val="NaglaencitatChar"/>
    <w:uiPriority w:val="30"/>
    <w:qFormat/>
    <w:rsid w:val="00056B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056BD6"/>
    <w:rPr>
      <w:i/>
      <w:iCs/>
      <w:color w:val="0F4761" w:themeColor="accent1" w:themeShade="BF"/>
    </w:rPr>
  </w:style>
  <w:style w:type="character" w:styleId="Istaknutareferenca">
    <w:name w:val="Intense Reference"/>
    <w:basedOn w:val="Zadanifontodlomka"/>
    <w:uiPriority w:val="32"/>
    <w:qFormat/>
    <w:rsid w:val="00056BD6"/>
    <w:rPr>
      <w:b/>
      <w:bCs/>
      <w:smallCaps/>
      <w:color w:val="0F4761" w:themeColor="accent1" w:themeShade="BF"/>
      <w:spacing w:val="5"/>
    </w:rPr>
  </w:style>
  <w:style w:type="paragraph" w:styleId="StandardWeb">
    <w:name w:val="Normal (Web)"/>
    <w:basedOn w:val="Normal"/>
    <w:uiPriority w:val="99"/>
    <w:semiHidden/>
    <w:unhideWhenUsed/>
    <w:rsid w:val="00056BD6"/>
    <w:pPr>
      <w:spacing w:before="100" w:beforeAutospacing="1" w:after="100" w:afterAutospacing="1" w:line="240" w:lineRule="auto"/>
    </w:pPr>
    <w:rPr>
      <w:rFonts w:ascii="Times New Roman" w:eastAsia="Times New Roman" w:hAnsi="Times New Roman" w:cs="Times New Roman"/>
      <w:kern w:val="0"/>
      <w:lang w:eastAsia="hr-HR"/>
      <w14:ligatures w14:val="none"/>
    </w:rPr>
  </w:style>
  <w:style w:type="paragraph" w:styleId="Bezproreda">
    <w:name w:val="No Spacing"/>
    <w:uiPriority w:val="1"/>
    <w:qFormat/>
    <w:rsid w:val="00A46C1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2088</Words>
  <Characters>11907</Characters>
  <Application>Microsoft Office Word</Application>
  <DocSecurity>0</DocSecurity>
  <Lines>99</Lines>
  <Paragraphs>27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Goranka Kajfeš</dc:creator>
  <cp:keywords/>
  <dc:description/>
  <cp:lastModifiedBy>Goranka Kajfeš</cp:lastModifiedBy>
  <cp:revision>2</cp:revision>
  <dcterms:created xsi:type="dcterms:W3CDTF">2026-10-21T11:53:00Z</dcterms:created>
  <dcterms:modified xsi:type="dcterms:W3CDTF">2026-10-21T11:53:00Z</dcterms:modified>
</cp:coreProperties>
</file>