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2141" w14:textId="14AC7F0A" w:rsidR="004443CD" w:rsidRPr="00EE2B64" w:rsidRDefault="004443CD" w:rsidP="00EE2B6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7"/>
      <w:r w:rsidRPr="004443CD">
        <w:rPr>
          <w:rFonts w:ascii="Arial Narrow" w:eastAsia="Calibri" w:hAnsi="Arial Narrow" w:cs="Times New Roman"/>
          <w:b/>
          <w:bCs/>
          <w:sz w:val="24"/>
          <w:szCs w:val="24"/>
        </w:rPr>
        <w:t>Obrazac Izvješća o savjetovanju s javnošću</w:t>
      </w:r>
      <w:bookmarkEnd w:id="0"/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5079"/>
      </w:tblGrid>
      <w:tr w:rsidR="004443CD" w:rsidRPr="004443CD" w14:paraId="5FFA45DD" w14:textId="77777777" w:rsidTr="00227AAF">
        <w:trPr>
          <w:trHeight w:val="1750"/>
        </w:trPr>
        <w:tc>
          <w:tcPr>
            <w:tcW w:w="8865" w:type="dxa"/>
            <w:gridSpan w:val="2"/>
            <w:tcBorders>
              <w:bottom w:val="single" w:sz="4" w:space="0" w:color="365F91"/>
            </w:tcBorders>
            <w:shd w:val="clear" w:color="auto" w:fill="FFFFFF" w:themeFill="background1"/>
            <w:vAlign w:val="center"/>
          </w:tcPr>
          <w:p w14:paraId="65339413" w14:textId="45397493" w:rsidR="004443CD" w:rsidRPr="004443CD" w:rsidRDefault="00DD1775" w:rsidP="004443CD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="004443CD"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IZVJEŠĆE O SAVJETOVANJU S JAVNOŠĆU</w:t>
            </w:r>
          </w:p>
          <w:p w14:paraId="2A5B2433" w14:textId="2762CEA3" w:rsidR="00341E5E" w:rsidRPr="00227AAF" w:rsidRDefault="004443CD" w:rsidP="00CC36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U POSTUPKU DONOŠENJA </w:t>
            </w:r>
            <w:r w:rsidR="00CC36FA" w:rsidRPr="00CC36FA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ODLU</w:t>
            </w:r>
            <w:r w:rsidR="00CC36FA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KE</w:t>
            </w:r>
            <w:r w:rsidR="00CC36FA" w:rsidRPr="00CC36FA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 O IZMJENAMA I DOPUNAMA ODLUKE O DIMNJAČARSKOJ SLUŽBI</w:t>
            </w:r>
          </w:p>
          <w:p w14:paraId="06C49877" w14:textId="0588735A" w:rsidR="004443CD" w:rsidRPr="00EE2B64" w:rsidRDefault="004443CD" w:rsidP="00EE2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EFA28" w14:textId="14B25445" w:rsidR="00EE2B64" w:rsidRPr="00EE2B64" w:rsidRDefault="004443CD" w:rsidP="00EE2B64">
            <w:pPr>
              <w:pStyle w:val="Heading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Georgia" w:hAnsi="Georgia"/>
                <w:color w:val="2C7E51"/>
                <w:sz w:val="33"/>
                <w:szCs w:val="33"/>
              </w:rPr>
            </w:pPr>
            <w:r w:rsidRPr="00EE2B64">
              <w:rPr>
                <w:rFonts w:ascii="Arial Narrow" w:eastAsia="SimSun" w:hAnsi="Arial Narrow"/>
                <w:sz w:val="20"/>
                <w:szCs w:val="20"/>
                <w:lang w:eastAsia="zh-CN"/>
              </w:rPr>
              <w:t xml:space="preserve">Nositelj izrade izvješća: </w:t>
            </w:r>
            <w:r w:rsidR="00210DE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U</w:t>
            </w:r>
            <w:r w:rsidR="00705510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pravni odjel</w:t>
            </w:r>
            <w:r w:rsidR="00EE2B64" w:rsidRPr="00EE2B6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za komunalni sustav, imovinu, promet i zaštitu okoliša</w:t>
            </w:r>
          </w:p>
          <w:p w14:paraId="0786F88F" w14:textId="77777777" w:rsidR="004443CD" w:rsidRPr="004443CD" w:rsidRDefault="004443CD" w:rsidP="00227AAF">
            <w:pPr>
              <w:spacing w:after="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47408463" w14:textId="77777777" w:rsidTr="00341E5E">
        <w:trPr>
          <w:trHeight w:val="912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706CE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ACC64E" w14:textId="30622FA3" w:rsidR="004443CD" w:rsidRPr="00227AAF" w:rsidRDefault="00CC36FA" w:rsidP="00227AA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CC36FA">
              <w:rPr>
                <w:rFonts w:ascii="Arial Narrow" w:hAnsi="Arial Narrow" w:cs="Times New Roman"/>
                <w:sz w:val="20"/>
                <w:szCs w:val="20"/>
              </w:rPr>
              <w:t>Odlu</w:t>
            </w:r>
            <w:r>
              <w:rPr>
                <w:rFonts w:ascii="Arial Narrow" w:hAnsi="Arial Narrow" w:cs="Times New Roman"/>
                <w:sz w:val="20"/>
                <w:szCs w:val="20"/>
              </w:rPr>
              <w:t>ka</w:t>
            </w:r>
            <w:r w:rsidRPr="00CC36FA">
              <w:rPr>
                <w:rFonts w:ascii="Arial Narrow" w:hAnsi="Arial Narrow" w:cs="Times New Roman"/>
                <w:sz w:val="20"/>
                <w:szCs w:val="20"/>
              </w:rPr>
              <w:t xml:space="preserve"> o izmjenama i dopunama Odluke o dimnjačarskoj službi</w:t>
            </w:r>
          </w:p>
        </w:tc>
      </w:tr>
      <w:tr w:rsidR="004443CD" w:rsidRPr="004443CD" w14:paraId="5B00CD87" w14:textId="77777777" w:rsidTr="00341E5E">
        <w:trPr>
          <w:trHeight w:val="759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23B2F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Naziv tijela nadležnog za izradu nacrta / provedbu savjetovanja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1AB1C86" w14:textId="77777777" w:rsidR="00210DE4" w:rsidRDefault="00210DE4" w:rsidP="00EE2B64">
            <w:pPr>
              <w:pStyle w:val="Heading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08AAB67" w14:textId="2F31B9A1" w:rsidR="00EE2B64" w:rsidRPr="00EE2B64" w:rsidRDefault="009203F5" w:rsidP="00EE2B64">
            <w:pPr>
              <w:pStyle w:val="Heading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Upravni odjel</w:t>
            </w:r>
            <w:r w:rsidR="00EE2B64" w:rsidRPr="00EE2B6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za komunalni sustav, imovinu, promet i zaštitu okoliša</w:t>
            </w:r>
          </w:p>
          <w:p w14:paraId="21948D63" w14:textId="253655EA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2C5AADD1" w14:textId="77777777" w:rsidTr="00210DE4">
        <w:trPr>
          <w:trHeight w:val="1271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D9A79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C1E9C3" w14:textId="77777777" w:rsidR="00210DE4" w:rsidRDefault="00210DE4" w:rsidP="00341E5E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7163B2E2" w14:textId="4106880E" w:rsidR="00210DE4" w:rsidRDefault="00210DE4" w:rsidP="00341E5E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Izmjene i dopune Odluke o dimnjačarskoj službi donose se radi pravne usklađenosti, povećanja sigurnosti korisnika usluga te učinkovitijeg nadzora i organizacije obavljanja dimnjačarskih poslova na području Grada Delnica.</w:t>
            </w:r>
          </w:p>
          <w:p w14:paraId="60FEDC6A" w14:textId="6C6715F3" w:rsidR="00210DE4" w:rsidRPr="00EE2B64" w:rsidRDefault="00210DE4" w:rsidP="00341E5E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118843A4" w14:textId="77777777" w:rsidTr="00210DE4">
        <w:trPr>
          <w:trHeight w:val="471"/>
        </w:trPr>
        <w:tc>
          <w:tcPr>
            <w:tcW w:w="3786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509857F6" w14:textId="77777777" w:rsidR="00210DE4" w:rsidRDefault="00210DE4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2DCB0691" w14:textId="109F76AC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Objava dokumenata za savjetovanje </w:t>
            </w:r>
          </w:p>
          <w:p w14:paraId="60C7A1C5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4390F84B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Razdoblje provedbe savjetovanja </w:t>
            </w:r>
          </w:p>
          <w:p w14:paraId="2B923F92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4EC3B07" w14:textId="77777777" w:rsidR="00210DE4" w:rsidRDefault="00210DE4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249D9437" w14:textId="7F734A09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www.delnice.hr</w:t>
            </w:r>
          </w:p>
          <w:p w14:paraId="4C4BC318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443CD" w:rsidRPr="004443CD" w14:paraId="4DCA1B02" w14:textId="77777777" w:rsidTr="00210DE4">
        <w:trPr>
          <w:trHeight w:val="823"/>
        </w:trPr>
        <w:tc>
          <w:tcPr>
            <w:tcW w:w="3786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3397AED7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D1B33CA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  <w:p w14:paraId="779EA35F" w14:textId="377DEC7B" w:rsidR="004443CD" w:rsidRPr="004443CD" w:rsidRDefault="00227AAF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Od </w:t>
            </w:r>
            <w:r w:rsidR="00210DE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12</w:t>
            </w:r>
            <w:r w:rsid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.</w:t>
            </w: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210DE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ožujka</w:t>
            </w:r>
            <w:r w:rsid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do </w:t>
            </w:r>
            <w:r w:rsidR="00210DE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27</w:t>
            </w:r>
            <w:r w:rsid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. </w:t>
            </w:r>
            <w:r w:rsidR="00210DE4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ožujka</w:t>
            </w:r>
            <w:r w:rsid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5</w:t>
            </w:r>
            <w:r w:rsid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.</w:t>
            </w:r>
          </w:p>
          <w:p w14:paraId="25306CC9" w14:textId="26DFA26E" w:rsidR="004A1A84" w:rsidRPr="004443CD" w:rsidRDefault="004A1A84" w:rsidP="004A1A8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43E80DF1" w14:textId="77777777" w:rsidTr="00210DE4">
        <w:trPr>
          <w:trHeight w:val="528"/>
        </w:trPr>
        <w:tc>
          <w:tcPr>
            <w:tcW w:w="3786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7AFA36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osnovnih pokazatelja  uključenosti savjetovanja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DDC554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  <w:tr w:rsidR="004443CD" w:rsidRPr="004443CD" w14:paraId="23B65CFC" w14:textId="77777777" w:rsidTr="00341E5E">
        <w:trPr>
          <w:trHeight w:val="733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6BBC01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D9FC70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Priložiti tablicu prihvaćenih i neprihvaćenih primjedbi –prilog 1.</w:t>
            </w:r>
          </w:p>
        </w:tc>
      </w:tr>
      <w:tr w:rsidR="004443CD" w:rsidRPr="004443CD" w14:paraId="61FE84E4" w14:textId="77777777" w:rsidTr="00341E5E">
        <w:trPr>
          <w:trHeight w:val="639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19F29C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 xml:space="preserve">Ostali oblici savjetovanja s javnošću 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7D13F4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  <w:p w14:paraId="757343D7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4443CD" w:rsidRPr="004443CD" w14:paraId="27C9341C" w14:textId="77777777" w:rsidTr="00341E5E">
        <w:trPr>
          <w:trHeight w:val="323"/>
        </w:trPr>
        <w:tc>
          <w:tcPr>
            <w:tcW w:w="378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3D0D58" w14:textId="77777777" w:rsidR="004443CD" w:rsidRPr="004443CD" w:rsidRDefault="004443CD" w:rsidP="004443CD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50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35E619" w14:textId="77777777" w:rsidR="004443CD" w:rsidRPr="004443CD" w:rsidRDefault="004443CD" w:rsidP="004443CD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Cs/>
                <w:sz w:val="20"/>
                <w:szCs w:val="20"/>
                <w:lang w:eastAsia="zh-CN"/>
              </w:rPr>
              <w:t>nema</w:t>
            </w:r>
          </w:p>
        </w:tc>
      </w:tr>
    </w:tbl>
    <w:p w14:paraId="3673A3EC" w14:textId="77777777" w:rsidR="00210DE4" w:rsidRPr="00210DE4" w:rsidRDefault="00210DE4" w:rsidP="004443CD">
      <w:pPr>
        <w:spacing w:after="200" w:line="276" w:lineRule="auto"/>
        <w:rPr>
          <w:rFonts w:ascii="Arial Narrow" w:eastAsia="Calibri" w:hAnsi="Arial Narrow" w:cs="Times New Roman"/>
          <w:b/>
          <w:bCs/>
          <w:sz w:val="10"/>
          <w:szCs w:val="10"/>
        </w:rPr>
      </w:pPr>
      <w:bookmarkStart w:id="1" w:name="_Toc468978618"/>
    </w:p>
    <w:p w14:paraId="60DBC365" w14:textId="74E5FEFA" w:rsidR="00EE2B64" w:rsidRPr="004443CD" w:rsidRDefault="004443CD" w:rsidP="004443CD">
      <w:pPr>
        <w:spacing w:after="200" w:line="276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4443CD">
        <w:rPr>
          <w:rFonts w:ascii="Arial Narrow" w:eastAsia="Calibri" w:hAnsi="Arial Narrow" w:cs="Times New Roman"/>
          <w:b/>
          <w:bCs/>
          <w:sz w:val="20"/>
          <w:szCs w:val="20"/>
        </w:rPr>
        <w:t>Prilog 1. Pregled prihvaćenih i neprihvaćenih primjedbi</w:t>
      </w:r>
      <w:bookmarkEnd w:id="1"/>
    </w:p>
    <w:tbl>
      <w:tblPr>
        <w:tblW w:w="91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848"/>
        <w:gridCol w:w="1943"/>
        <w:gridCol w:w="2004"/>
        <w:gridCol w:w="2577"/>
      </w:tblGrid>
      <w:tr w:rsidR="004443CD" w:rsidRPr="004443CD" w14:paraId="50B3AC8E" w14:textId="77777777" w:rsidTr="00210DE4">
        <w:trPr>
          <w:trHeight w:val="910"/>
          <w:jc w:val="center"/>
        </w:trPr>
        <w:tc>
          <w:tcPr>
            <w:tcW w:w="757" w:type="dxa"/>
            <w:vAlign w:val="center"/>
          </w:tcPr>
          <w:p w14:paraId="2C7E81F9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Redni broj</w:t>
            </w:r>
          </w:p>
        </w:tc>
        <w:tc>
          <w:tcPr>
            <w:tcW w:w="1848" w:type="dxa"/>
            <w:vAlign w:val="center"/>
          </w:tcPr>
          <w:p w14:paraId="0C4CFA30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Sudionik savjetovanja (ime i prezime pojedinca, naziv organizacije)</w:t>
            </w:r>
          </w:p>
        </w:tc>
        <w:tc>
          <w:tcPr>
            <w:tcW w:w="1943" w:type="dxa"/>
            <w:vAlign w:val="center"/>
          </w:tcPr>
          <w:p w14:paraId="0026B6EB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Članak ili drugi dio nacrta na koji se odnosi prijedlog ili mišljenje</w:t>
            </w:r>
          </w:p>
        </w:tc>
        <w:tc>
          <w:tcPr>
            <w:tcW w:w="2004" w:type="dxa"/>
            <w:vAlign w:val="center"/>
          </w:tcPr>
          <w:p w14:paraId="684400AD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Tekst zaprimljenog prijedloga ili mišljenja</w:t>
            </w:r>
          </w:p>
        </w:tc>
        <w:tc>
          <w:tcPr>
            <w:tcW w:w="2577" w:type="dxa"/>
            <w:vAlign w:val="center"/>
          </w:tcPr>
          <w:p w14:paraId="13DAEC9B" w14:textId="77777777" w:rsidR="004443CD" w:rsidRPr="004443CD" w:rsidRDefault="004443CD" w:rsidP="004443CD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4443C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Status prijedloga ili mišljenja (prihvaćanje/neprihvaćanje s  obrazloženjem) </w:t>
            </w:r>
          </w:p>
        </w:tc>
      </w:tr>
      <w:tr w:rsidR="004443CD" w:rsidRPr="004443CD" w14:paraId="32BEB297" w14:textId="77777777" w:rsidTr="00210DE4">
        <w:trPr>
          <w:trHeight w:val="496"/>
          <w:jc w:val="center"/>
        </w:trPr>
        <w:tc>
          <w:tcPr>
            <w:tcW w:w="757" w:type="dxa"/>
          </w:tcPr>
          <w:p w14:paraId="17EFB0E9" w14:textId="3C71FBA6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848" w:type="dxa"/>
          </w:tcPr>
          <w:p w14:paraId="61628EA5" w14:textId="426FBC33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943" w:type="dxa"/>
          </w:tcPr>
          <w:p w14:paraId="1D072C08" w14:textId="283C3FD8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04" w:type="dxa"/>
          </w:tcPr>
          <w:p w14:paraId="3730EB73" w14:textId="23A222F7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577" w:type="dxa"/>
          </w:tcPr>
          <w:p w14:paraId="6AC56B9F" w14:textId="324D4FA6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</w:tr>
      <w:tr w:rsidR="004443CD" w:rsidRPr="004443CD" w14:paraId="0992F769" w14:textId="77777777" w:rsidTr="00210DE4">
        <w:trPr>
          <w:trHeight w:val="496"/>
          <w:jc w:val="center"/>
        </w:trPr>
        <w:tc>
          <w:tcPr>
            <w:tcW w:w="757" w:type="dxa"/>
          </w:tcPr>
          <w:p w14:paraId="58D62033" w14:textId="7BCFE744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848" w:type="dxa"/>
          </w:tcPr>
          <w:p w14:paraId="299E1A19" w14:textId="5393CA84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943" w:type="dxa"/>
          </w:tcPr>
          <w:p w14:paraId="315BF531" w14:textId="2A6A062E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04" w:type="dxa"/>
          </w:tcPr>
          <w:p w14:paraId="2FDA36E9" w14:textId="1E242524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577" w:type="dxa"/>
          </w:tcPr>
          <w:p w14:paraId="617967E0" w14:textId="5AF555FD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</w:tr>
      <w:tr w:rsidR="004443CD" w:rsidRPr="004443CD" w14:paraId="72F891EE" w14:textId="77777777" w:rsidTr="00210DE4">
        <w:trPr>
          <w:trHeight w:val="496"/>
          <w:jc w:val="center"/>
        </w:trPr>
        <w:tc>
          <w:tcPr>
            <w:tcW w:w="757" w:type="dxa"/>
          </w:tcPr>
          <w:p w14:paraId="662A345C" w14:textId="71E82558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848" w:type="dxa"/>
          </w:tcPr>
          <w:p w14:paraId="7C27969E" w14:textId="67CD098F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943" w:type="dxa"/>
          </w:tcPr>
          <w:p w14:paraId="15CA2C81" w14:textId="407BDBD7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04" w:type="dxa"/>
          </w:tcPr>
          <w:p w14:paraId="081A0325" w14:textId="6BB18D86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577" w:type="dxa"/>
          </w:tcPr>
          <w:p w14:paraId="68F75158" w14:textId="10F0BE14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</w:tr>
      <w:tr w:rsidR="004443CD" w:rsidRPr="004443CD" w14:paraId="7F846A51" w14:textId="77777777" w:rsidTr="00210DE4">
        <w:trPr>
          <w:trHeight w:val="496"/>
          <w:jc w:val="center"/>
        </w:trPr>
        <w:tc>
          <w:tcPr>
            <w:tcW w:w="757" w:type="dxa"/>
          </w:tcPr>
          <w:p w14:paraId="4503460E" w14:textId="71ED94BB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848" w:type="dxa"/>
          </w:tcPr>
          <w:p w14:paraId="29A364D3" w14:textId="3FF4AA76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943" w:type="dxa"/>
          </w:tcPr>
          <w:p w14:paraId="7C5FAF0B" w14:textId="6AADABBB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04" w:type="dxa"/>
          </w:tcPr>
          <w:p w14:paraId="7DCB2244" w14:textId="158F3768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577" w:type="dxa"/>
          </w:tcPr>
          <w:p w14:paraId="74EE92D8" w14:textId="7EB8BFB5" w:rsidR="004443CD" w:rsidRPr="004443CD" w:rsidRDefault="00210DE4" w:rsidP="00210DE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/</w:t>
            </w:r>
          </w:p>
        </w:tc>
      </w:tr>
    </w:tbl>
    <w:p w14:paraId="15EF9D64" w14:textId="77777777" w:rsidR="004443CD" w:rsidRPr="004443CD" w:rsidRDefault="004443CD" w:rsidP="00210DE4">
      <w:pPr>
        <w:spacing w:after="200" w:line="276" w:lineRule="auto"/>
        <w:rPr>
          <w:rFonts w:ascii="Calibri" w:eastAsia="SimSun" w:hAnsi="Calibri" w:cs="Times New Roman"/>
          <w:lang w:eastAsia="zh-CN"/>
        </w:rPr>
      </w:pPr>
    </w:p>
    <w:sectPr w:rsidR="004443CD" w:rsidRPr="004443CD" w:rsidSect="00210D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CD"/>
    <w:rsid w:val="0007319D"/>
    <w:rsid w:val="00196F6A"/>
    <w:rsid w:val="00210DE4"/>
    <w:rsid w:val="00227AAF"/>
    <w:rsid w:val="002E2D2D"/>
    <w:rsid w:val="00341E5E"/>
    <w:rsid w:val="004443CD"/>
    <w:rsid w:val="004A1A84"/>
    <w:rsid w:val="00563327"/>
    <w:rsid w:val="006C1C53"/>
    <w:rsid w:val="00705510"/>
    <w:rsid w:val="009203F5"/>
    <w:rsid w:val="009E63B9"/>
    <w:rsid w:val="00A84ABA"/>
    <w:rsid w:val="00BA09E1"/>
    <w:rsid w:val="00C1512A"/>
    <w:rsid w:val="00C67543"/>
    <w:rsid w:val="00CC36FA"/>
    <w:rsid w:val="00CF01C4"/>
    <w:rsid w:val="00DC3918"/>
    <w:rsid w:val="00DD1775"/>
    <w:rsid w:val="00DD6C09"/>
    <w:rsid w:val="00E81759"/>
    <w:rsid w:val="00EE2B64"/>
    <w:rsid w:val="00F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3356"/>
  <w15:chartTrackingRefBased/>
  <w15:docId w15:val="{AEBA256E-2AF3-4A1B-AD38-10C569E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2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5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E2B6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Ilija Kezele</cp:lastModifiedBy>
  <cp:revision>2</cp:revision>
  <cp:lastPrinted>2024-05-21T10:45:00Z</cp:lastPrinted>
  <dcterms:created xsi:type="dcterms:W3CDTF">2026-03-31T07:22:00Z</dcterms:created>
  <dcterms:modified xsi:type="dcterms:W3CDTF">2026-03-31T07:22:00Z</dcterms:modified>
</cp:coreProperties>
</file>