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A41C3" w14:textId="6E2469D7" w:rsidR="0058639B" w:rsidRPr="002B105A" w:rsidRDefault="0058639B" w:rsidP="00A6778C">
      <w:pPr>
        <w:jc w:val="both"/>
        <w:rPr>
          <w:sz w:val="24"/>
          <w:szCs w:val="24"/>
          <w:u w:val="single"/>
        </w:rPr>
      </w:pPr>
      <w:r w:rsidRPr="00627058">
        <w:rPr>
          <w:sz w:val="24"/>
          <w:szCs w:val="24"/>
        </w:rPr>
        <w:t>Na temelju članka 113. Zakona o gospodarenju otpadom (</w:t>
      </w:r>
      <w:r w:rsidR="00036C6A">
        <w:rPr>
          <w:sz w:val="24"/>
          <w:szCs w:val="24"/>
        </w:rPr>
        <w:t>„</w:t>
      </w:r>
      <w:r w:rsidRPr="00627058">
        <w:rPr>
          <w:sz w:val="24"/>
          <w:szCs w:val="24"/>
        </w:rPr>
        <w:t>N</w:t>
      </w:r>
      <w:r w:rsidR="00036C6A">
        <w:rPr>
          <w:sz w:val="24"/>
          <w:szCs w:val="24"/>
        </w:rPr>
        <w:t>arodne novine“ broj</w:t>
      </w:r>
      <w:r w:rsidRPr="00627058">
        <w:rPr>
          <w:sz w:val="24"/>
          <w:szCs w:val="24"/>
        </w:rPr>
        <w:t xml:space="preserve"> 84/21</w:t>
      </w:r>
      <w:r w:rsidR="001743F7">
        <w:rPr>
          <w:sz w:val="24"/>
          <w:szCs w:val="24"/>
        </w:rPr>
        <w:t>, 142/23</w:t>
      </w:r>
      <w:r w:rsidRPr="00627058">
        <w:rPr>
          <w:sz w:val="24"/>
          <w:szCs w:val="24"/>
        </w:rPr>
        <w:t xml:space="preserve">), članka 35. Zakona o lokalnoj i područnoj (regionalnoj) samoupravi </w:t>
      </w:r>
      <w:r w:rsidR="00036C6A" w:rsidRPr="00627058">
        <w:rPr>
          <w:sz w:val="24"/>
          <w:szCs w:val="24"/>
        </w:rPr>
        <w:t>(</w:t>
      </w:r>
      <w:r w:rsidR="00036C6A">
        <w:rPr>
          <w:sz w:val="24"/>
          <w:szCs w:val="24"/>
        </w:rPr>
        <w:t>„</w:t>
      </w:r>
      <w:r w:rsidR="00036C6A" w:rsidRPr="00627058">
        <w:rPr>
          <w:sz w:val="24"/>
          <w:szCs w:val="24"/>
        </w:rPr>
        <w:t>N</w:t>
      </w:r>
      <w:r w:rsidR="00036C6A">
        <w:rPr>
          <w:sz w:val="24"/>
          <w:szCs w:val="24"/>
        </w:rPr>
        <w:t>arodne novine“ broj</w:t>
      </w:r>
      <w:r w:rsidR="00036C6A" w:rsidRPr="00627058">
        <w:rPr>
          <w:sz w:val="24"/>
          <w:szCs w:val="24"/>
        </w:rPr>
        <w:t xml:space="preserve"> </w:t>
      </w:r>
      <w:r w:rsidRPr="00627058">
        <w:rPr>
          <w:sz w:val="24"/>
          <w:szCs w:val="24"/>
        </w:rPr>
        <w:t>33/01, 60/01, 129/ 05, 109/07, 125/08, 36/09, 150/11, 144/12, 19/13, 137/15, 123/17, 98/19, 144/20) članka 40. Statuta Grada Delnica (</w:t>
      </w:r>
      <w:r w:rsidR="00036C6A">
        <w:rPr>
          <w:sz w:val="24"/>
          <w:szCs w:val="24"/>
        </w:rPr>
        <w:t>„</w:t>
      </w:r>
      <w:r w:rsidRPr="00627058">
        <w:rPr>
          <w:sz w:val="24"/>
          <w:szCs w:val="24"/>
        </w:rPr>
        <w:t>S</w:t>
      </w:r>
      <w:r w:rsidR="00036C6A">
        <w:rPr>
          <w:sz w:val="24"/>
          <w:szCs w:val="24"/>
        </w:rPr>
        <w:t>lužbene novine Grada Delnica“ broj</w:t>
      </w:r>
      <w:r w:rsidRPr="00627058">
        <w:rPr>
          <w:sz w:val="24"/>
          <w:szCs w:val="24"/>
        </w:rPr>
        <w:t xml:space="preserve"> 2/21</w:t>
      </w:r>
      <w:r w:rsidR="004759D9">
        <w:rPr>
          <w:sz w:val="24"/>
          <w:szCs w:val="24"/>
        </w:rPr>
        <w:t>,</w:t>
      </w:r>
      <w:r w:rsidR="00036C6A">
        <w:rPr>
          <w:sz w:val="24"/>
          <w:szCs w:val="24"/>
        </w:rPr>
        <w:t xml:space="preserve"> </w:t>
      </w:r>
      <w:r w:rsidR="00F1585F">
        <w:rPr>
          <w:sz w:val="24"/>
          <w:szCs w:val="24"/>
        </w:rPr>
        <w:t>6/25</w:t>
      </w:r>
      <w:r w:rsidRPr="00627058">
        <w:rPr>
          <w:sz w:val="24"/>
          <w:szCs w:val="24"/>
        </w:rPr>
        <w:t>) Gradsko vijeće Grada Delnica na sjednici održanoj</w:t>
      </w:r>
      <w:r w:rsidR="00800567">
        <w:rPr>
          <w:sz w:val="24"/>
          <w:szCs w:val="24"/>
        </w:rPr>
        <w:t xml:space="preserve"> 15. prosinca 2025. godine</w:t>
      </w:r>
      <w:r w:rsidR="000F0706">
        <w:rPr>
          <w:sz w:val="24"/>
          <w:szCs w:val="24"/>
        </w:rPr>
        <w:t xml:space="preserve"> </w:t>
      </w:r>
      <w:r w:rsidRPr="00627058">
        <w:rPr>
          <w:sz w:val="24"/>
          <w:szCs w:val="24"/>
        </w:rPr>
        <w:t>donosi</w:t>
      </w:r>
    </w:p>
    <w:p w14:paraId="5D499AD9" w14:textId="77777777" w:rsidR="00A6778C" w:rsidRDefault="00A6778C" w:rsidP="00A6778C">
      <w:pPr>
        <w:jc w:val="both"/>
        <w:rPr>
          <w:sz w:val="24"/>
          <w:szCs w:val="24"/>
        </w:rPr>
      </w:pPr>
    </w:p>
    <w:p w14:paraId="6BC65BD5" w14:textId="70551142" w:rsidR="0058639B" w:rsidRDefault="0058639B" w:rsidP="00A6778C">
      <w:pPr>
        <w:jc w:val="center"/>
        <w:rPr>
          <w:b/>
          <w:sz w:val="24"/>
          <w:szCs w:val="24"/>
        </w:rPr>
      </w:pPr>
      <w:r w:rsidRPr="00627058">
        <w:rPr>
          <w:b/>
          <w:sz w:val="24"/>
          <w:szCs w:val="24"/>
        </w:rPr>
        <w:t>ODLUKU O PROVEDBI POSEBNIH MJERA SPRJEČAVANJA ODBACIVANJA OTPADA</w:t>
      </w:r>
      <w:r w:rsidR="00A27BBE" w:rsidRPr="00627058">
        <w:rPr>
          <w:b/>
          <w:sz w:val="24"/>
          <w:szCs w:val="24"/>
        </w:rPr>
        <w:t xml:space="preserve"> U 202</w:t>
      </w:r>
      <w:r w:rsidR="004736EA">
        <w:rPr>
          <w:b/>
          <w:sz w:val="24"/>
          <w:szCs w:val="24"/>
        </w:rPr>
        <w:t>6</w:t>
      </w:r>
      <w:r w:rsidR="00A27BBE" w:rsidRPr="00627058">
        <w:rPr>
          <w:b/>
          <w:sz w:val="24"/>
          <w:szCs w:val="24"/>
        </w:rPr>
        <w:t xml:space="preserve">. </w:t>
      </w:r>
      <w:r w:rsidR="00BB6028" w:rsidRPr="00627058">
        <w:rPr>
          <w:b/>
          <w:sz w:val="24"/>
          <w:szCs w:val="24"/>
        </w:rPr>
        <w:t>GODINI</w:t>
      </w:r>
    </w:p>
    <w:p w14:paraId="33BDF4E3" w14:textId="77777777" w:rsidR="00A6778C" w:rsidRPr="00A6778C" w:rsidRDefault="00A6778C" w:rsidP="00A6778C">
      <w:pPr>
        <w:jc w:val="center"/>
        <w:rPr>
          <w:b/>
          <w:sz w:val="24"/>
          <w:szCs w:val="24"/>
        </w:rPr>
      </w:pPr>
    </w:p>
    <w:p w14:paraId="196881B5" w14:textId="77777777" w:rsidR="006B28AB" w:rsidRDefault="0058639B" w:rsidP="004B656F">
      <w:pPr>
        <w:jc w:val="center"/>
        <w:rPr>
          <w:b/>
          <w:sz w:val="24"/>
          <w:szCs w:val="24"/>
        </w:rPr>
      </w:pPr>
      <w:r w:rsidRPr="00627058">
        <w:rPr>
          <w:b/>
          <w:sz w:val="24"/>
          <w:szCs w:val="24"/>
        </w:rPr>
        <w:t>Članak 1.</w:t>
      </w:r>
    </w:p>
    <w:p w14:paraId="5944BD0B" w14:textId="77777777" w:rsidR="00C72A6C" w:rsidRDefault="0058639B" w:rsidP="00A6778C">
      <w:pPr>
        <w:jc w:val="both"/>
        <w:rPr>
          <w:sz w:val="24"/>
          <w:szCs w:val="24"/>
        </w:rPr>
      </w:pPr>
      <w:r w:rsidRPr="00627058">
        <w:rPr>
          <w:sz w:val="24"/>
          <w:szCs w:val="24"/>
        </w:rPr>
        <w:t>Ovom Odlukom određuju se posebne mjere sprječavanja odbacivanja</w:t>
      </w:r>
      <w:r w:rsidR="00C72A6C">
        <w:rPr>
          <w:sz w:val="24"/>
          <w:szCs w:val="24"/>
        </w:rPr>
        <w:t>,</w:t>
      </w:r>
      <w:r w:rsidRPr="00627058">
        <w:rPr>
          <w:sz w:val="24"/>
          <w:szCs w:val="24"/>
        </w:rPr>
        <w:t xml:space="preserve"> </w:t>
      </w:r>
      <w:r w:rsidR="00C72A6C" w:rsidRPr="00C72A6C">
        <w:rPr>
          <w:sz w:val="24"/>
          <w:szCs w:val="24"/>
        </w:rPr>
        <w:t xml:space="preserve">nepropisnog skladištenja, ostavljanja i/ili odlaganja </w:t>
      </w:r>
      <w:r w:rsidRPr="00627058">
        <w:rPr>
          <w:sz w:val="24"/>
          <w:szCs w:val="24"/>
        </w:rPr>
        <w:t>otpada na lokacijama na kojima je u više navrata utvrđeno nepropisno odbacivanje</w:t>
      </w:r>
      <w:r w:rsidR="00C72A6C">
        <w:rPr>
          <w:sz w:val="24"/>
          <w:szCs w:val="24"/>
        </w:rPr>
        <w:t>,</w:t>
      </w:r>
      <w:r w:rsidRPr="00627058">
        <w:rPr>
          <w:sz w:val="24"/>
          <w:szCs w:val="24"/>
        </w:rPr>
        <w:t xml:space="preserve"> </w:t>
      </w:r>
      <w:r w:rsidR="00C72A6C" w:rsidRPr="00C72A6C">
        <w:rPr>
          <w:sz w:val="24"/>
          <w:szCs w:val="24"/>
        </w:rPr>
        <w:t>nepropisno skladištenj</w:t>
      </w:r>
      <w:r w:rsidR="00C72A6C">
        <w:rPr>
          <w:sz w:val="24"/>
          <w:szCs w:val="24"/>
        </w:rPr>
        <w:t>e</w:t>
      </w:r>
      <w:r w:rsidR="00C72A6C" w:rsidRPr="00C72A6C">
        <w:rPr>
          <w:sz w:val="24"/>
          <w:szCs w:val="24"/>
        </w:rPr>
        <w:t>, ostavljanj</w:t>
      </w:r>
      <w:r w:rsidR="00C72A6C">
        <w:rPr>
          <w:sz w:val="24"/>
          <w:szCs w:val="24"/>
        </w:rPr>
        <w:t>e</w:t>
      </w:r>
      <w:r w:rsidR="00C72A6C" w:rsidRPr="00C72A6C">
        <w:rPr>
          <w:sz w:val="24"/>
          <w:szCs w:val="24"/>
        </w:rPr>
        <w:t xml:space="preserve"> i/ili odlaganj</w:t>
      </w:r>
      <w:r w:rsidR="00C72A6C">
        <w:rPr>
          <w:sz w:val="24"/>
          <w:szCs w:val="24"/>
        </w:rPr>
        <w:t>e</w:t>
      </w:r>
      <w:r w:rsidR="00C72A6C" w:rsidRPr="00C72A6C">
        <w:rPr>
          <w:sz w:val="24"/>
          <w:szCs w:val="24"/>
        </w:rPr>
        <w:t xml:space="preserve"> </w:t>
      </w:r>
      <w:r w:rsidRPr="00627058">
        <w:rPr>
          <w:sz w:val="24"/>
          <w:szCs w:val="24"/>
        </w:rPr>
        <w:t>otpada, a naročito se utvrđuje:</w:t>
      </w:r>
    </w:p>
    <w:p w14:paraId="3D1522FE" w14:textId="77777777" w:rsidR="00C72A6C" w:rsidRDefault="0058639B" w:rsidP="00755775">
      <w:pPr>
        <w:pStyle w:val="Odlomakpopisa"/>
        <w:numPr>
          <w:ilvl w:val="0"/>
          <w:numId w:val="4"/>
        </w:numPr>
        <w:ind w:left="567" w:hanging="207"/>
        <w:jc w:val="both"/>
        <w:rPr>
          <w:sz w:val="24"/>
          <w:szCs w:val="24"/>
        </w:rPr>
      </w:pPr>
      <w:r w:rsidRPr="00C72A6C">
        <w:rPr>
          <w:sz w:val="24"/>
          <w:szCs w:val="24"/>
        </w:rPr>
        <w:t>redoslijed sanacije</w:t>
      </w:r>
    </w:p>
    <w:p w14:paraId="6EEC3580" w14:textId="77777777" w:rsidR="00C72A6C" w:rsidRDefault="0058639B" w:rsidP="00755775">
      <w:pPr>
        <w:pStyle w:val="Odlomakpopisa"/>
        <w:numPr>
          <w:ilvl w:val="0"/>
          <w:numId w:val="4"/>
        </w:numPr>
        <w:ind w:left="567" w:hanging="207"/>
        <w:jc w:val="both"/>
        <w:rPr>
          <w:sz w:val="24"/>
          <w:szCs w:val="24"/>
        </w:rPr>
      </w:pPr>
      <w:r w:rsidRPr="00C72A6C">
        <w:rPr>
          <w:sz w:val="24"/>
          <w:szCs w:val="24"/>
        </w:rPr>
        <w:t>rokovi i način izvršenja</w:t>
      </w:r>
    </w:p>
    <w:p w14:paraId="76CD576C" w14:textId="77777777" w:rsidR="00C72A6C" w:rsidRDefault="0058639B" w:rsidP="00755775">
      <w:pPr>
        <w:pStyle w:val="Odlomakpopisa"/>
        <w:numPr>
          <w:ilvl w:val="0"/>
          <w:numId w:val="4"/>
        </w:numPr>
        <w:ind w:left="567" w:hanging="207"/>
        <w:jc w:val="both"/>
        <w:rPr>
          <w:sz w:val="24"/>
          <w:szCs w:val="24"/>
        </w:rPr>
      </w:pPr>
      <w:r w:rsidRPr="00C72A6C">
        <w:rPr>
          <w:sz w:val="24"/>
          <w:szCs w:val="24"/>
        </w:rPr>
        <w:t>izvori i način financiranja</w:t>
      </w:r>
    </w:p>
    <w:p w14:paraId="3E9FC80A" w14:textId="77777777" w:rsidR="00C72A6C" w:rsidRDefault="0058639B" w:rsidP="00755775">
      <w:pPr>
        <w:pStyle w:val="Odlomakpopisa"/>
        <w:numPr>
          <w:ilvl w:val="0"/>
          <w:numId w:val="4"/>
        </w:numPr>
        <w:ind w:left="567" w:hanging="207"/>
        <w:jc w:val="both"/>
        <w:rPr>
          <w:sz w:val="24"/>
          <w:szCs w:val="24"/>
        </w:rPr>
      </w:pPr>
      <w:r w:rsidRPr="00C72A6C">
        <w:rPr>
          <w:sz w:val="24"/>
          <w:szCs w:val="24"/>
        </w:rPr>
        <w:t>način vršenja poslova evidencije i sanacije lokacija</w:t>
      </w:r>
    </w:p>
    <w:p w14:paraId="12CA0093" w14:textId="77777777" w:rsidR="00C72A6C" w:rsidRDefault="0058639B" w:rsidP="00755775">
      <w:pPr>
        <w:pStyle w:val="Odlomakpopisa"/>
        <w:numPr>
          <w:ilvl w:val="0"/>
          <w:numId w:val="4"/>
        </w:numPr>
        <w:ind w:left="567" w:hanging="207"/>
        <w:jc w:val="both"/>
        <w:rPr>
          <w:sz w:val="24"/>
          <w:szCs w:val="24"/>
        </w:rPr>
      </w:pPr>
      <w:r w:rsidRPr="00C72A6C">
        <w:rPr>
          <w:sz w:val="24"/>
          <w:szCs w:val="24"/>
        </w:rPr>
        <w:t>uspostava sustava za zaprimanje obavijesti o nepropisno odbačenom otpadu</w:t>
      </w:r>
    </w:p>
    <w:p w14:paraId="6A84D22E" w14:textId="77777777" w:rsidR="00C72A6C" w:rsidRDefault="0058639B" w:rsidP="00755775">
      <w:pPr>
        <w:pStyle w:val="Odlomakpopisa"/>
        <w:numPr>
          <w:ilvl w:val="0"/>
          <w:numId w:val="4"/>
        </w:numPr>
        <w:ind w:left="567" w:hanging="207"/>
        <w:jc w:val="both"/>
        <w:rPr>
          <w:sz w:val="24"/>
          <w:szCs w:val="24"/>
        </w:rPr>
      </w:pPr>
      <w:r w:rsidRPr="00C72A6C">
        <w:rPr>
          <w:sz w:val="24"/>
          <w:szCs w:val="24"/>
        </w:rPr>
        <w:t>postavljanje znakova upozorenja o zabrani odbacivanja otpada na lokacijama Grada Delnica za koje komunalno redarstvo utvrdi da na njima postoji opasnost za odbacivanje otpada,</w:t>
      </w:r>
    </w:p>
    <w:p w14:paraId="04801332" w14:textId="77777777" w:rsidR="00C72A6C" w:rsidRDefault="0058639B" w:rsidP="00755775">
      <w:pPr>
        <w:pStyle w:val="Odlomakpopisa"/>
        <w:numPr>
          <w:ilvl w:val="0"/>
          <w:numId w:val="4"/>
        </w:numPr>
        <w:ind w:left="567" w:hanging="207"/>
        <w:jc w:val="both"/>
        <w:rPr>
          <w:sz w:val="24"/>
          <w:szCs w:val="24"/>
        </w:rPr>
      </w:pPr>
      <w:r w:rsidRPr="00C72A6C">
        <w:rPr>
          <w:sz w:val="24"/>
          <w:szCs w:val="24"/>
        </w:rPr>
        <w:t>provođenje stalnog terenskog nadzora od strane komunalnog redara radi utvrđivanja postojanja nepropisno odbačenog otpada,</w:t>
      </w:r>
    </w:p>
    <w:p w14:paraId="406D0888" w14:textId="77777777" w:rsidR="0058639B" w:rsidRDefault="0058639B" w:rsidP="00755775">
      <w:pPr>
        <w:pStyle w:val="Odlomakpopisa"/>
        <w:numPr>
          <w:ilvl w:val="0"/>
          <w:numId w:val="4"/>
        </w:numPr>
        <w:ind w:left="567" w:hanging="207"/>
        <w:jc w:val="both"/>
        <w:rPr>
          <w:sz w:val="24"/>
          <w:szCs w:val="24"/>
        </w:rPr>
      </w:pPr>
      <w:r w:rsidRPr="00C72A6C">
        <w:rPr>
          <w:sz w:val="24"/>
          <w:szCs w:val="24"/>
        </w:rPr>
        <w:t>uspostava sustava evidentiranja lokacija nepropisno odbačenog otpada na području</w:t>
      </w:r>
      <w:r w:rsidR="00C72A6C">
        <w:rPr>
          <w:sz w:val="24"/>
          <w:szCs w:val="24"/>
        </w:rPr>
        <w:t xml:space="preserve"> </w:t>
      </w:r>
      <w:r w:rsidRPr="00C72A6C">
        <w:rPr>
          <w:sz w:val="24"/>
          <w:szCs w:val="24"/>
        </w:rPr>
        <w:t>Grada Delnica</w:t>
      </w:r>
    </w:p>
    <w:p w14:paraId="31ED190E" w14:textId="77777777" w:rsidR="00A6778C" w:rsidRDefault="00A6778C" w:rsidP="00A6778C">
      <w:pPr>
        <w:jc w:val="both"/>
        <w:rPr>
          <w:sz w:val="24"/>
          <w:szCs w:val="24"/>
        </w:rPr>
      </w:pPr>
    </w:p>
    <w:p w14:paraId="6FE70B25" w14:textId="77777777" w:rsidR="006B28AB" w:rsidRDefault="0058639B" w:rsidP="004B656F">
      <w:pPr>
        <w:jc w:val="center"/>
        <w:rPr>
          <w:b/>
          <w:sz w:val="24"/>
          <w:szCs w:val="24"/>
        </w:rPr>
      </w:pPr>
      <w:r w:rsidRPr="00627058">
        <w:rPr>
          <w:b/>
          <w:sz w:val="24"/>
          <w:szCs w:val="24"/>
        </w:rPr>
        <w:t xml:space="preserve">Članak </w:t>
      </w:r>
      <w:r w:rsidR="00C72A6C">
        <w:rPr>
          <w:b/>
          <w:sz w:val="24"/>
          <w:szCs w:val="24"/>
        </w:rPr>
        <w:t>2</w:t>
      </w:r>
      <w:r w:rsidRPr="00627058">
        <w:rPr>
          <w:b/>
          <w:sz w:val="24"/>
          <w:szCs w:val="24"/>
        </w:rPr>
        <w:t>.</w:t>
      </w:r>
    </w:p>
    <w:p w14:paraId="0DA37B36" w14:textId="77777777" w:rsidR="0058639B" w:rsidRPr="00627058" w:rsidRDefault="0058639B" w:rsidP="00A6778C">
      <w:pPr>
        <w:jc w:val="both"/>
        <w:rPr>
          <w:sz w:val="24"/>
          <w:szCs w:val="24"/>
        </w:rPr>
      </w:pPr>
      <w:r w:rsidRPr="00627058">
        <w:rPr>
          <w:sz w:val="24"/>
          <w:szCs w:val="24"/>
        </w:rPr>
        <w:t>(1) Grad Delnice uspostaviti će sustav za zaprimanje obavijesti o nepropisno odbačenom</w:t>
      </w:r>
      <w:r w:rsidR="00C72A6C">
        <w:rPr>
          <w:sz w:val="24"/>
          <w:szCs w:val="24"/>
        </w:rPr>
        <w:t xml:space="preserve">, </w:t>
      </w:r>
      <w:r w:rsidR="00C72A6C" w:rsidRPr="00C72A6C">
        <w:rPr>
          <w:sz w:val="24"/>
          <w:szCs w:val="24"/>
        </w:rPr>
        <w:t>uskladištenom, ostavljenom i/ili odloženom</w:t>
      </w:r>
      <w:r w:rsidRPr="00627058">
        <w:rPr>
          <w:sz w:val="24"/>
          <w:szCs w:val="24"/>
        </w:rPr>
        <w:t xml:space="preserve"> otpadu.</w:t>
      </w:r>
    </w:p>
    <w:p w14:paraId="53BA8854" w14:textId="77777777" w:rsidR="006B28AB" w:rsidRDefault="0058639B" w:rsidP="00A6778C">
      <w:pPr>
        <w:jc w:val="both"/>
        <w:rPr>
          <w:sz w:val="24"/>
          <w:szCs w:val="24"/>
        </w:rPr>
      </w:pPr>
      <w:r w:rsidRPr="00627058">
        <w:rPr>
          <w:sz w:val="24"/>
          <w:szCs w:val="24"/>
        </w:rPr>
        <w:t>(2) Ob</w:t>
      </w:r>
      <w:r w:rsidR="00C72A6C">
        <w:rPr>
          <w:sz w:val="24"/>
          <w:szCs w:val="24"/>
        </w:rPr>
        <w:t xml:space="preserve">avijesti o nepropisno odbačenom, </w:t>
      </w:r>
      <w:r w:rsidR="00C72A6C" w:rsidRPr="00C72A6C">
        <w:rPr>
          <w:sz w:val="24"/>
          <w:szCs w:val="24"/>
        </w:rPr>
        <w:t xml:space="preserve">uskladištenom, ostavljenom i/ili odloženom </w:t>
      </w:r>
      <w:r w:rsidRPr="00627058">
        <w:rPr>
          <w:sz w:val="24"/>
          <w:szCs w:val="24"/>
        </w:rPr>
        <w:t>otpadu moći će se dostavljati na sljedeći način:</w:t>
      </w:r>
    </w:p>
    <w:p w14:paraId="360CE3D2" w14:textId="77777777" w:rsidR="006B28AB" w:rsidRDefault="0058639B" w:rsidP="00755775">
      <w:pPr>
        <w:pStyle w:val="Odlomakpopisa"/>
        <w:numPr>
          <w:ilvl w:val="0"/>
          <w:numId w:val="6"/>
        </w:numPr>
        <w:ind w:left="567" w:hanging="207"/>
        <w:jc w:val="both"/>
        <w:rPr>
          <w:sz w:val="24"/>
          <w:szCs w:val="24"/>
        </w:rPr>
      </w:pPr>
      <w:r w:rsidRPr="006B28AB">
        <w:rPr>
          <w:sz w:val="24"/>
          <w:szCs w:val="24"/>
        </w:rPr>
        <w:t xml:space="preserve">osobno predajom pisane </w:t>
      </w:r>
      <w:r w:rsidR="00627058" w:rsidRPr="006B28AB">
        <w:rPr>
          <w:sz w:val="24"/>
          <w:szCs w:val="24"/>
        </w:rPr>
        <w:t>prijave</w:t>
      </w:r>
      <w:r w:rsidRPr="006B28AB">
        <w:rPr>
          <w:sz w:val="24"/>
          <w:szCs w:val="24"/>
        </w:rPr>
        <w:t xml:space="preserve"> u pisarnici Grada ili  putem pošte na adresu Grada</w:t>
      </w:r>
    </w:p>
    <w:p w14:paraId="278CB8F2" w14:textId="2AC47B64" w:rsidR="006B28AB" w:rsidRDefault="0058639B" w:rsidP="00755775">
      <w:pPr>
        <w:pStyle w:val="Odlomakpopisa"/>
        <w:numPr>
          <w:ilvl w:val="0"/>
          <w:numId w:val="6"/>
        </w:numPr>
        <w:ind w:left="567" w:hanging="207"/>
        <w:jc w:val="both"/>
        <w:rPr>
          <w:sz w:val="24"/>
          <w:szCs w:val="24"/>
        </w:rPr>
      </w:pPr>
      <w:r w:rsidRPr="006B28AB">
        <w:rPr>
          <w:sz w:val="24"/>
          <w:szCs w:val="24"/>
        </w:rPr>
        <w:t xml:space="preserve">putem elektronske pošte na adresu </w:t>
      </w:r>
      <w:r w:rsidR="006126B5">
        <w:rPr>
          <w:sz w:val="24"/>
          <w:szCs w:val="24"/>
        </w:rPr>
        <w:t>natasa</w:t>
      </w:r>
      <w:r w:rsidR="00950D3F">
        <w:rPr>
          <w:sz w:val="24"/>
          <w:szCs w:val="24"/>
        </w:rPr>
        <w:t>@delnice.hr</w:t>
      </w:r>
    </w:p>
    <w:p w14:paraId="5C9FE498" w14:textId="77777777" w:rsidR="006B28AB" w:rsidRDefault="0058639B" w:rsidP="00755775">
      <w:pPr>
        <w:pStyle w:val="Odlomakpopisa"/>
        <w:numPr>
          <w:ilvl w:val="0"/>
          <w:numId w:val="6"/>
        </w:numPr>
        <w:ind w:left="567" w:hanging="207"/>
        <w:jc w:val="both"/>
        <w:rPr>
          <w:sz w:val="24"/>
          <w:szCs w:val="24"/>
        </w:rPr>
      </w:pPr>
      <w:r w:rsidRPr="006B28AB">
        <w:rPr>
          <w:sz w:val="24"/>
          <w:szCs w:val="24"/>
        </w:rPr>
        <w:t>putem telefona 051-812-055</w:t>
      </w:r>
    </w:p>
    <w:p w14:paraId="7D117C66" w14:textId="77777777" w:rsidR="006B28AB" w:rsidRDefault="0058639B" w:rsidP="00755775">
      <w:pPr>
        <w:pStyle w:val="Odlomakpopisa"/>
        <w:numPr>
          <w:ilvl w:val="0"/>
          <w:numId w:val="6"/>
        </w:numPr>
        <w:ind w:left="567" w:hanging="207"/>
        <w:jc w:val="both"/>
        <w:rPr>
          <w:sz w:val="24"/>
          <w:szCs w:val="24"/>
        </w:rPr>
      </w:pPr>
      <w:r w:rsidRPr="006B28AB">
        <w:rPr>
          <w:sz w:val="24"/>
          <w:szCs w:val="24"/>
        </w:rPr>
        <w:t>osobno u uredu komunalnog redara</w:t>
      </w:r>
    </w:p>
    <w:p w14:paraId="22DE4573" w14:textId="77777777" w:rsidR="0058639B" w:rsidRPr="006B28AB" w:rsidRDefault="0058639B" w:rsidP="00755775">
      <w:pPr>
        <w:pStyle w:val="Odlomakpopisa"/>
        <w:numPr>
          <w:ilvl w:val="0"/>
          <w:numId w:val="6"/>
        </w:numPr>
        <w:ind w:left="567" w:hanging="207"/>
        <w:jc w:val="both"/>
        <w:rPr>
          <w:sz w:val="24"/>
          <w:szCs w:val="24"/>
        </w:rPr>
      </w:pPr>
      <w:r w:rsidRPr="006B28AB">
        <w:rPr>
          <w:sz w:val="24"/>
          <w:szCs w:val="24"/>
        </w:rPr>
        <w:t>putem internetske aplikacije Ministarstva ELOO</w:t>
      </w:r>
    </w:p>
    <w:p w14:paraId="441B11F0" w14:textId="77777777" w:rsidR="00A6778C" w:rsidRDefault="00A6778C" w:rsidP="00A6778C">
      <w:pPr>
        <w:jc w:val="both"/>
        <w:rPr>
          <w:sz w:val="24"/>
          <w:szCs w:val="24"/>
        </w:rPr>
      </w:pPr>
    </w:p>
    <w:p w14:paraId="5D8BF0C3" w14:textId="77777777" w:rsidR="006B28AB" w:rsidRDefault="0058639B" w:rsidP="004B656F">
      <w:pPr>
        <w:jc w:val="center"/>
        <w:rPr>
          <w:b/>
          <w:sz w:val="24"/>
          <w:szCs w:val="24"/>
        </w:rPr>
      </w:pPr>
      <w:r w:rsidRPr="00627058">
        <w:rPr>
          <w:b/>
          <w:sz w:val="24"/>
          <w:szCs w:val="24"/>
        </w:rPr>
        <w:t xml:space="preserve">Članak </w:t>
      </w:r>
      <w:r w:rsidR="000620A7">
        <w:rPr>
          <w:b/>
          <w:sz w:val="24"/>
          <w:szCs w:val="24"/>
        </w:rPr>
        <w:t>3</w:t>
      </w:r>
      <w:r w:rsidRPr="00627058">
        <w:rPr>
          <w:b/>
          <w:sz w:val="24"/>
          <w:szCs w:val="24"/>
        </w:rPr>
        <w:t>.</w:t>
      </w:r>
    </w:p>
    <w:p w14:paraId="5CA05B1B" w14:textId="77777777" w:rsidR="0058639B" w:rsidRPr="00627058" w:rsidRDefault="0058639B" w:rsidP="00A6778C">
      <w:pPr>
        <w:jc w:val="both"/>
        <w:rPr>
          <w:sz w:val="24"/>
          <w:szCs w:val="24"/>
        </w:rPr>
      </w:pPr>
      <w:r w:rsidRPr="00627058">
        <w:rPr>
          <w:sz w:val="24"/>
          <w:szCs w:val="24"/>
        </w:rPr>
        <w:t xml:space="preserve">(1) </w:t>
      </w:r>
      <w:r w:rsidR="00C72A6C" w:rsidRPr="00C72A6C">
        <w:rPr>
          <w:sz w:val="24"/>
          <w:szCs w:val="24"/>
        </w:rPr>
        <w:t>Radi provedbe mjera iz članka 1. ove Odluke komunalni redar rješenjem naređuje uklanjanje otpada vlasniku ili posjedniku nekretnine ili osobi koja sukladno posebnom propisu upravlj</w:t>
      </w:r>
      <w:r w:rsidR="006B28AB">
        <w:rPr>
          <w:sz w:val="24"/>
          <w:szCs w:val="24"/>
        </w:rPr>
        <w:t xml:space="preserve">a određenim područjem (dobrom) </w:t>
      </w:r>
      <w:r w:rsidR="00C72A6C" w:rsidRPr="00C72A6C">
        <w:rPr>
          <w:sz w:val="24"/>
          <w:szCs w:val="24"/>
        </w:rPr>
        <w:t>ako je otpad odložen na tom području (dobru) ili osobi koju zatiče ili za koju može dokazati da je izvršila nepropisne radnje iz članka 1. ove Odluke</w:t>
      </w:r>
      <w:r w:rsidRPr="00627058">
        <w:rPr>
          <w:sz w:val="24"/>
          <w:szCs w:val="24"/>
        </w:rPr>
        <w:t>.</w:t>
      </w:r>
    </w:p>
    <w:p w14:paraId="0ED3F4BA" w14:textId="77777777" w:rsidR="00CE63A4" w:rsidRDefault="0058639B" w:rsidP="00A6778C">
      <w:pPr>
        <w:jc w:val="both"/>
        <w:rPr>
          <w:sz w:val="24"/>
          <w:szCs w:val="24"/>
        </w:rPr>
      </w:pPr>
      <w:r w:rsidRPr="00627058">
        <w:rPr>
          <w:sz w:val="24"/>
          <w:szCs w:val="24"/>
        </w:rPr>
        <w:t>(2) Rješenjem iz stavka 1. ovoga članka određuje se: lokacija odbačenog otpada, procijenjena količina otpada, obveznik uklanjanja otpada, te obveza uklanjanja otpada predajom ovlaštenoj</w:t>
      </w:r>
      <w:r w:rsidR="006B28AB">
        <w:rPr>
          <w:sz w:val="24"/>
          <w:szCs w:val="24"/>
        </w:rPr>
        <w:t xml:space="preserve"> </w:t>
      </w:r>
      <w:r w:rsidRPr="00627058">
        <w:rPr>
          <w:sz w:val="24"/>
          <w:szCs w:val="24"/>
        </w:rPr>
        <w:t>osobi za gospodarenje tom vrstom otpada u roku koji ne može biti duži od 30 dana od dana zaprimanja rješenja.</w:t>
      </w:r>
    </w:p>
    <w:p w14:paraId="746035D8" w14:textId="77777777" w:rsidR="0058639B" w:rsidRPr="00627058" w:rsidRDefault="0058639B" w:rsidP="00A6778C">
      <w:pPr>
        <w:jc w:val="both"/>
        <w:rPr>
          <w:sz w:val="24"/>
          <w:szCs w:val="24"/>
        </w:rPr>
      </w:pPr>
      <w:r w:rsidRPr="00627058">
        <w:rPr>
          <w:sz w:val="24"/>
          <w:szCs w:val="24"/>
        </w:rPr>
        <w:t xml:space="preserve">(3) </w:t>
      </w:r>
      <w:r w:rsidR="00C72A6C" w:rsidRPr="00C72A6C">
        <w:rPr>
          <w:sz w:val="24"/>
          <w:szCs w:val="24"/>
        </w:rPr>
        <w:t>Ako komunalni redar utvrdi da obveza utvrđena stavkom 1. ovog članka nije izvršena, Grad Delnice je dužan osigurati uklanjanje tog otpada predajom ovlaštenoj osobi za gospodarenje tom vrstom otpada na trošak izvršenika.</w:t>
      </w:r>
    </w:p>
    <w:p w14:paraId="29FE9B1A" w14:textId="77777777" w:rsidR="0058639B" w:rsidRDefault="0058639B" w:rsidP="00A6778C">
      <w:pPr>
        <w:jc w:val="both"/>
        <w:rPr>
          <w:sz w:val="24"/>
          <w:szCs w:val="24"/>
        </w:rPr>
      </w:pPr>
      <w:r w:rsidRPr="00627058">
        <w:rPr>
          <w:sz w:val="24"/>
          <w:szCs w:val="24"/>
        </w:rPr>
        <w:lastRenderedPageBreak/>
        <w:t>(4) Protiv rješenja iz stavka 1. ovog članka može se izjaviti žalba nadležnom Upravnom odjelu za prostorno uređenje, graditeljstvo i zaštitu okoli</w:t>
      </w:r>
      <w:r w:rsidR="00A6778C">
        <w:rPr>
          <w:sz w:val="24"/>
          <w:szCs w:val="24"/>
        </w:rPr>
        <w:t>ša Primorsko-goranske županije.</w:t>
      </w:r>
    </w:p>
    <w:p w14:paraId="27910332" w14:textId="77777777" w:rsidR="00A6778C" w:rsidRDefault="00A6778C" w:rsidP="00A6778C">
      <w:pPr>
        <w:jc w:val="both"/>
        <w:rPr>
          <w:sz w:val="24"/>
          <w:szCs w:val="24"/>
        </w:rPr>
      </w:pPr>
    </w:p>
    <w:p w14:paraId="01346B56" w14:textId="77777777" w:rsidR="0058639B" w:rsidRDefault="0058639B" w:rsidP="004B656F">
      <w:pPr>
        <w:jc w:val="center"/>
        <w:rPr>
          <w:b/>
          <w:sz w:val="24"/>
          <w:szCs w:val="24"/>
        </w:rPr>
      </w:pPr>
      <w:r w:rsidRPr="00627058">
        <w:rPr>
          <w:b/>
          <w:sz w:val="24"/>
          <w:szCs w:val="24"/>
        </w:rPr>
        <w:t xml:space="preserve">Članak </w:t>
      </w:r>
      <w:r w:rsidR="000620A7">
        <w:rPr>
          <w:b/>
          <w:sz w:val="24"/>
          <w:szCs w:val="24"/>
        </w:rPr>
        <w:t>4</w:t>
      </w:r>
      <w:r w:rsidRPr="00627058">
        <w:rPr>
          <w:b/>
          <w:sz w:val="24"/>
          <w:szCs w:val="24"/>
        </w:rPr>
        <w:t>.</w:t>
      </w:r>
    </w:p>
    <w:p w14:paraId="5306715F" w14:textId="77777777" w:rsidR="0058639B" w:rsidRPr="00627058" w:rsidRDefault="0058639B" w:rsidP="00A6778C">
      <w:pPr>
        <w:jc w:val="both"/>
        <w:rPr>
          <w:sz w:val="24"/>
          <w:szCs w:val="24"/>
        </w:rPr>
      </w:pPr>
      <w:r w:rsidRPr="00627058">
        <w:rPr>
          <w:sz w:val="24"/>
          <w:szCs w:val="24"/>
        </w:rPr>
        <w:t>(1) Grad Delnice je dužan, su</w:t>
      </w:r>
      <w:r w:rsidR="00F233FA" w:rsidRPr="00627058">
        <w:rPr>
          <w:sz w:val="24"/>
          <w:szCs w:val="24"/>
        </w:rPr>
        <w:t>klad</w:t>
      </w:r>
      <w:r w:rsidRPr="00627058">
        <w:rPr>
          <w:sz w:val="24"/>
          <w:szCs w:val="24"/>
        </w:rPr>
        <w:t xml:space="preserve">no zakonu, podatke utvrđene rješenjem iz članka 4. ove Odluke, mjesečno unositi u mrežnu aplikaciju sustava evidentiranja lokacija odbačenog otpada koju vodi </w:t>
      </w:r>
      <w:r w:rsidR="000620A7">
        <w:rPr>
          <w:sz w:val="24"/>
          <w:szCs w:val="24"/>
        </w:rPr>
        <w:t>Ministarstvo</w:t>
      </w:r>
      <w:r w:rsidRPr="00627058">
        <w:rPr>
          <w:sz w:val="24"/>
          <w:szCs w:val="24"/>
        </w:rPr>
        <w:t>.</w:t>
      </w:r>
    </w:p>
    <w:p w14:paraId="39382D05" w14:textId="77777777" w:rsidR="0058639B" w:rsidRDefault="0058639B" w:rsidP="00A6778C">
      <w:pPr>
        <w:jc w:val="both"/>
        <w:rPr>
          <w:sz w:val="24"/>
          <w:szCs w:val="24"/>
        </w:rPr>
      </w:pPr>
      <w:r w:rsidRPr="00627058">
        <w:rPr>
          <w:sz w:val="24"/>
          <w:szCs w:val="24"/>
        </w:rPr>
        <w:t>(2) Ukoliko je u prethodnoj kalendarskoj godini na području Grada Delnica uklonjen nepropisno odbačeni otpad suglasno ovoj Odluci ili Odluci o komunalnom redu, g</w:t>
      </w:r>
      <w:r w:rsidR="004B656F">
        <w:rPr>
          <w:sz w:val="24"/>
          <w:szCs w:val="24"/>
        </w:rPr>
        <w:t xml:space="preserve">radonačelnik je dužan </w:t>
      </w:r>
      <w:r w:rsidRPr="00627058">
        <w:rPr>
          <w:sz w:val="24"/>
          <w:szCs w:val="24"/>
        </w:rPr>
        <w:t>do 31.ožujka tekuće godine, za prethodnu kalendarsku godinu, podnijeti izvješće Gradskom vijeću o lokacijama i količini nepropisno odbačenog otpada i svim troškovima uklanjanja odbačenog otpada.</w:t>
      </w:r>
    </w:p>
    <w:p w14:paraId="3B23E026" w14:textId="77777777" w:rsidR="00A6778C" w:rsidRPr="00A6778C" w:rsidRDefault="00A6778C" w:rsidP="00A6778C">
      <w:pPr>
        <w:jc w:val="both"/>
        <w:rPr>
          <w:sz w:val="24"/>
          <w:szCs w:val="24"/>
        </w:rPr>
      </w:pPr>
    </w:p>
    <w:p w14:paraId="6A5AE8A5" w14:textId="77777777" w:rsidR="0058639B" w:rsidRDefault="0058639B" w:rsidP="004B656F">
      <w:pPr>
        <w:jc w:val="center"/>
        <w:rPr>
          <w:b/>
          <w:sz w:val="24"/>
          <w:szCs w:val="24"/>
        </w:rPr>
      </w:pPr>
      <w:r w:rsidRPr="00627058">
        <w:rPr>
          <w:b/>
          <w:sz w:val="24"/>
          <w:szCs w:val="24"/>
        </w:rPr>
        <w:t xml:space="preserve">Članak </w:t>
      </w:r>
      <w:r w:rsidR="000620A7">
        <w:rPr>
          <w:b/>
          <w:sz w:val="24"/>
          <w:szCs w:val="24"/>
        </w:rPr>
        <w:t>5</w:t>
      </w:r>
      <w:r w:rsidRPr="00627058">
        <w:rPr>
          <w:b/>
          <w:sz w:val="24"/>
          <w:szCs w:val="24"/>
        </w:rPr>
        <w:t>.</w:t>
      </w:r>
    </w:p>
    <w:p w14:paraId="3C9BEFC9" w14:textId="60B5BCFC" w:rsidR="0058639B" w:rsidRPr="00036C6A" w:rsidRDefault="00036C6A" w:rsidP="00036C6A">
      <w:pPr>
        <w:jc w:val="both"/>
        <w:rPr>
          <w:sz w:val="24"/>
          <w:szCs w:val="24"/>
        </w:rPr>
      </w:pPr>
      <w:r>
        <w:rPr>
          <w:sz w:val="24"/>
          <w:szCs w:val="24"/>
        </w:rPr>
        <w:t xml:space="preserve">(1) </w:t>
      </w:r>
      <w:r w:rsidR="0058639B" w:rsidRPr="00036C6A">
        <w:rPr>
          <w:sz w:val="24"/>
          <w:szCs w:val="24"/>
        </w:rPr>
        <w:t>Sanacija utvrđenih lokacija otpadom o</w:t>
      </w:r>
      <w:r w:rsidR="00F233FA" w:rsidRPr="00036C6A">
        <w:rPr>
          <w:sz w:val="24"/>
          <w:szCs w:val="24"/>
        </w:rPr>
        <w:t>nečišćenog tla vršit će se u 202</w:t>
      </w:r>
      <w:r w:rsidR="009421AB" w:rsidRPr="00036C6A">
        <w:rPr>
          <w:sz w:val="24"/>
          <w:szCs w:val="24"/>
        </w:rPr>
        <w:t>6</w:t>
      </w:r>
      <w:r w:rsidR="0058639B" w:rsidRPr="00036C6A">
        <w:rPr>
          <w:sz w:val="24"/>
          <w:szCs w:val="24"/>
        </w:rPr>
        <w:t>. godini sukladno</w:t>
      </w:r>
      <w:r w:rsidR="00E07714" w:rsidRPr="00036C6A">
        <w:rPr>
          <w:sz w:val="24"/>
          <w:szCs w:val="24"/>
        </w:rPr>
        <w:t xml:space="preserve"> </w:t>
      </w:r>
      <w:r w:rsidR="0058639B" w:rsidRPr="00036C6A">
        <w:rPr>
          <w:sz w:val="24"/>
          <w:szCs w:val="24"/>
        </w:rPr>
        <w:t>Listi prioriteta</w:t>
      </w:r>
      <w:r>
        <w:rPr>
          <w:sz w:val="24"/>
          <w:szCs w:val="24"/>
        </w:rPr>
        <w:t>:</w:t>
      </w:r>
    </w:p>
    <w:p w14:paraId="7D9B4A39" w14:textId="77777777" w:rsidR="00036C6A" w:rsidRPr="00950D3F" w:rsidRDefault="00036C6A" w:rsidP="00036C6A">
      <w:pPr>
        <w:jc w:val="center"/>
        <w:rPr>
          <w:sz w:val="24"/>
          <w:szCs w:val="24"/>
        </w:rPr>
      </w:pPr>
    </w:p>
    <w:tbl>
      <w:tblPr>
        <w:tblStyle w:val="Reetkatablice"/>
        <w:tblW w:w="10475" w:type="dxa"/>
        <w:jc w:val="center"/>
        <w:tblLayout w:type="fixed"/>
        <w:tblLook w:val="04A0" w:firstRow="1" w:lastRow="0" w:firstColumn="1" w:lastColumn="0" w:noHBand="0" w:noVBand="1"/>
      </w:tblPr>
      <w:tblGrid>
        <w:gridCol w:w="567"/>
        <w:gridCol w:w="1843"/>
        <w:gridCol w:w="3402"/>
        <w:gridCol w:w="1261"/>
        <w:gridCol w:w="1276"/>
        <w:gridCol w:w="2126"/>
      </w:tblGrid>
      <w:tr w:rsidR="00036C6A" w:rsidRPr="00627058" w14:paraId="74D86823" w14:textId="77777777" w:rsidTr="002A7C86">
        <w:trPr>
          <w:trHeight w:val="554"/>
          <w:jc w:val="center"/>
        </w:trPr>
        <w:tc>
          <w:tcPr>
            <w:tcW w:w="567" w:type="dxa"/>
            <w:tcBorders>
              <w:top w:val="single" w:sz="12" w:space="0" w:color="auto"/>
              <w:left w:val="single" w:sz="12" w:space="0" w:color="auto"/>
              <w:bottom w:val="single" w:sz="12" w:space="0" w:color="auto"/>
              <w:right w:val="single" w:sz="12" w:space="0" w:color="auto"/>
            </w:tcBorders>
            <w:vAlign w:val="center"/>
          </w:tcPr>
          <w:p w14:paraId="497B7753" w14:textId="77777777" w:rsidR="00036C6A" w:rsidRPr="00627058" w:rsidRDefault="00036C6A" w:rsidP="002A7C86">
            <w:pPr>
              <w:contextualSpacing/>
              <w:jc w:val="center"/>
              <w:rPr>
                <w:rFonts w:eastAsia="Calibri"/>
                <w:b/>
              </w:rPr>
            </w:pPr>
            <w:r w:rsidRPr="00627058">
              <w:rPr>
                <w:rFonts w:eastAsia="Calibri"/>
                <w:b/>
              </w:rPr>
              <w:t>RB</w:t>
            </w:r>
          </w:p>
        </w:tc>
        <w:tc>
          <w:tcPr>
            <w:tcW w:w="1843" w:type="dxa"/>
            <w:tcBorders>
              <w:top w:val="single" w:sz="12" w:space="0" w:color="auto"/>
              <w:left w:val="single" w:sz="12" w:space="0" w:color="auto"/>
              <w:bottom w:val="single" w:sz="12" w:space="0" w:color="auto"/>
              <w:right w:val="single" w:sz="12" w:space="0" w:color="auto"/>
            </w:tcBorders>
            <w:vAlign w:val="center"/>
          </w:tcPr>
          <w:p w14:paraId="209D867E" w14:textId="77777777" w:rsidR="00036C6A" w:rsidRPr="00627058" w:rsidRDefault="00036C6A" w:rsidP="002A7C86">
            <w:pPr>
              <w:contextualSpacing/>
              <w:jc w:val="center"/>
              <w:rPr>
                <w:rFonts w:eastAsia="Calibri"/>
                <w:b/>
              </w:rPr>
            </w:pPr>
            <w:r w:rsidRPr="00627058">
              <w:rPr>
                <w:rFonts w:eastAsia="Calibri"/>
                <w:b/>
              </w:rPr>
              <w:t>IME LOKACIJE</w:t>
            </w:r>
          </w:p>
        </w:tc>
        <w:tc>
          <w:tcPr>
            <w:tcW w:w="3402" w:type="dxa"/>
            <w:tcBorders>
              <w:top w:val="single" w:sz="12" w:space="0" w:color="auto"/>
              <w:left w:val="single" w:sz="12" w:space="0" w:color="auto"/>
              <w:bottom w:val="single" w:sz="12" w:space="0" w:color="auto"/>
              <w:right w:val="single" w:sz="12" w:space="0" w:color="auto"/>
            </w:tcBorders>
            <w:vAlign w:val="center"/>
          </w:tcPr>
          <w:p w14:paraId="563D535C" w14:textId="77777777" w:rsidR="00036C6A" w:rsidRPr="00627058" w:rsidRDefault="00036C6A" w:rsidP="002A7C86">
            <w:pPr>
              <w:contextualSpacing/>
              <w:jc w:val="center"/>
              <w:rPr>
                <w:rFonts w:eastAsia="Calibri"/>
                <w:b/>
              </w:rPr>
            </w:pPr>
            <w:r w:rsidRPr="00627058">
              <w:rPr>
                <w:rFonts w:eastAsia="Calibri"/>
                <w:b/>
              </w:rPr>
              <w:t>LOKACIJA</w:t>
            </w:r>
          </w:p>
        </w:tc>
        <w:tc>
          <w:tcPr>
            <w:tcW w:w="1261" w:type="dxa"/>
            <w:tcBorders>
              <w:top w:val="single" w:sz="12" w:space="0" w:color="auto"/>
              <w:left w:val="single" w:sz="12" w:space="0" w:color="auto"/>
              <w:bottom w:val="single" w:sz="12" w:space="0" w:color="auto"/>
              <w:right w:val="single" w:sz="12" w:space="0" w:color="auto"/>
            </w:tcBorders>
            <w:vAlign w:val="center"/>
          </w:tcPr>
          <w:p w14:paraId="09B3C41F" w14:textId="77777777" w:rsidR="00036C6A" w:rsidRPr="00627058" w:rsidRDefault="00036C6A" w:rsidP="002A7C86">
            <w:pPr>
              <w:contextualSpacing/>
              <w:jc w:val="center"/>
              <w:rPr>
                <w:rFonts w:eastAsia="Calibri"/>
                <w:b/>
                <w:vertAlign w:val="superscript"/>
              </w:rPr>
            </w:pPr>
            <w:r w:rsidRPr="00627058">
              <w:rPr>
                <w:rFonts w:eastAsia="Calibri"/>
                <w:b/>
              </w:rPr>
              <w:t>POV. m</w:t>
            </w:r>
            <w:r w:rsidRPr="00627058">
              <w:rPr>
                <w:rFonts w:eastAsia="Calibri"/>
                <w:b/>
                <w:vertAlign w:val="superscript"/>
              </w:rPr>
              <w:t>2</w:t>
            </w:r>
          </w:p>
        </w:tc>
        <w:tc>
          <w:tcPr>
            <w:tcW w:w="1276" w:type="dxa"/>
            <w:tcBorders>
              <w:top w:val="single" w:sz="12" w:space="0" w:color="auto"/>
              <w:left w:val="single" w:sz="12" w:space="0" w:color="auto"/>
              <w:bottom w:val="single" w:sz="12" w:space="0" w:color="auto"/>
              <w:right w:val="single" w:sz="12" w:space="0" w:color="auto"/>
            </w:tcBorders>
            <w:vAlign w:val="center"/>
          </w:tcPr>
          <w:p w14:paraId="5077889E" w14:textId="77777777" w:rsidR="00036C6A" w:rsidRPr="00627058" w:rsidRDefault="00036C6A" w:rsidP="002A7C86">
            <w:pPr>
              <w:contextualSpacing/>
              <w:jc w:val="center"/>
              <w:rPr>
                <w:rFonts w:eastAsia="Calibri"/>
                <w:b/>
              </w:rPr>
            </w:pPr>
            <w:r w:rsidRPr="00627058">
              <w:rPr>
                <w:rFonts w:eastAsia="Calibri"/>
                <w:b/>
              </w:rPr>
              <w:t>VRSTA OTPADA</w:t>
            </w:r>
          </w:p>
        </w:tc>
        <w:tc>
          <w:tcPr>
            <w:tcW w:w="2126" w:type="dxa"/>
            <w:tcBorders>
              <w:top w:val="single" w:sz="12" w:space="0" w:color="auto"/>
              <w:left w:val="single" w:sz="12" w:space="0" w:color="auto"/>
              <w:bottom w:val="single" w:sz="12" w:space="0" w:color="auto"/>
              <w:right w:val="single" w:sz="12" w:space="0" w:color="auto"/>
            </w:tcBorders>
            <w:vAlign w:val="center"/>
          </w:tcPr>
          <w:p w14:paraId="14C0E773" w14:textId="77777777" w:rsidR="00036C6A" w:rsidRPr="00627058" w:rsidRDefault="00036C6A" w:rsidP="002A7C86">
            <w:pPr>
              <w:contextualSpacing/>
              <w:jc w:val="center"/>
              <w:rPr>
                <w:rFonts w:eastAsia="Calibri"/>
                <w:b/>
              </w:rPr>
            </w:pPr>
            <w:r w:rsidRPr="00627058">
              <w:rPr>
                <w:rFonts w:eastAsia="Calibri"/>
                <w:b/>
              </w:rPr>
              <w:t>KOLIČINA</w:t>
            </w:r>
          </w:p>
          <w:p w14:paraId="477BD648" w14:textId="77777777" w:rsidR="00036C6A" w:rsidRPr="00627058" w:rsidRDefault="00036C6A" w:rsidP="002A7C86">
            <w:pPr>
              <w:contextualSpacing/>
              <w:jc w:val="center"/>
              <w:rPr>
                <w:rFonts w:eastAsia="Calibri"/>
                <w:b/>
                <w:vertAlign w:val="superscript"/>
              </w:rPr>
            </w:pPr>
            <w:r w:rsidRPr="00627058">
              <w:rPr>
                <w:rFonts w:eastAsia="Calibri"/>
                <w:b/>
              </w:rPr>
              <w:t>cca m</w:t>
            </w:r>
            <w:r w:rsidRPr="00627058">
              <w:rPr>
                <w:rFonts w:eastAsia="Calibri"/>
                <w:b/>
                <w:vertAlign w:val="superscript"/>
              </w:rPr>
              <w:t>3</w:t>
            </w:r>
          </w:p>
        </w:tc>
      </w:tr>
      <w:tr w:rsidR="00036C6A" w:rsidRPr="00627058" w14:paraId="3535CC69" w14:textId="77777777" w:rsidTr="002A7C86">
        <w:trPr>
          <w:jc w:val="center"/>
        </w:trPr>
        <w:tc>
          <w:tcPr>
            <w:tcW w:w="567" w:type="dxa"/>
            <w:tcBorders>
              <w:left w:val="single" w:sz="12" w:space="0" w:color="auto"/>
            </w:tcBorders>
            <w:vAlign w:val="center"/>
          </w:tcPr>
          <w:p w14:paraId="2D1FFAB5" w14:textId="77777777" w:rsidR="00036C6A" w:rsidRPr="00627058" w:rsidRDefault="00036C6A" w:rsidP="002A7C86">
            <w:pPr>
              <w:contextualSpacing/>
              <w:jc w:val="center"/>
              <w:rPr>
                <w:rFonts w:eastAsia="Calibri"/>
              </w:rPr>
            </w:pPr>
            <w:r>
              <w:rPr>
                <w:rFonts w:eastAsia="Calibri"/>
              </w:rPr>
              <w:t>1.</w:t>
            </w:r>
          </w:p>
        </w:tc>
        <w:tc>
          <w:tcPr>
            <w:tcW w:w="1843" w:type="dxa"/>
            <w:vAlign w:val="center"/>
          </w:tcPr>
          <w:p w14:paraId="3EE1AC20" w14:textId="77777777" w:rsidR="00036C6A" w:rsidRPr="00627058" w:rsidRDefault="00036C6A" w:rsidP="002A7C86">
            <w:pPr>
              <w:contextualSpacing/>
              <w:jc w:val="center"/>
              <w:rPr>
                <w:rFonts w:eastAsia="Calibri"/>
              </w:rPr>
            </w:pPr>
            <w:r>
              <w:rPr>
                <w:rFonts w:eastAsia="Calibri"/>
              </w:rPr>
              <w:t>Dedin</w:t>
            </w:r>
          </w:p>
        </w:tc>
        <w:tc>
          <w:tcPr>
            <w:tcW w:w="3402" w:type="dxa"/>
            <w:vAlign w:val="center"/>
          </w:tcPr>
          <w:p w14:paraId="72950E34" w14:textId="77777777" w:rsidR="00036C6A" w:rsidRDefault="00036C6A" w:rsidP="002A7C86">
            <w:pPr>
              <w:numPr>
                <w:ilvl w:val="0"/>
                <w:numId w:val="2"/>
              </w:numPr>
              <w:ind w:left="176" w:hanging="176"/>
              <w:contextualSpacing/>
              <w:jc w:val="both"/>
              <w:rPr>
                <w:rFonts w:eastAsia="Calibri"/>
              </w:rPr>
            </w:pPr>
            <w:r>
              <w:rPr>
                <w:rFonts w:eastAsia="Calibri"/>
              </w:rPr>
              <w:t>Ugibalište prije Dedina</w:t>
            </w:r>
          </w:p>
          <w:p w14:paraId="5B4EE523" w14:textId="77777777" w:rsidR="00036C6A" w:rsidRDefault="00036C6A" w:rsidP="002A7C86">
            <w:pPr>
              <w:numPr>
                <w:ilvl w:val="0"/>
                <w:numId w:val="2"/>
              </w:numPr>
              <w:ind w:left="176" w:hanging="176"/>
              <w:contextualSpacing/>
              <w:jc w:val="both"/>
              <w:rPr>
                <w:rFonts w:eastAsia="Calibri"/>
              </w:rPr>
            </w:pPr>
            <w:r>
              <w:rPr>
                <w:rFonts w:eastAsia="Calibri"/>
              </w:rPr>
              <w:t xml:space="preserve">Kč. Br. 11215/16 k.o. Delnice </w:t>
            </w:r>
          </w:p>
          <w:p w14:paraId="7CB9607B" w14:textId="77777777" w:rsidR="00036C6A" w:rsidRPr="00627058" w:rsidRDefault="00036C6A" w:rsidP="002A7C86">
            <w:pPr>
              <w:numPr>
                <w:ilvl w:val="0"/>
                <w:numId w:val="2"/>
              </w:numPr>
              <w:ind w:left="176" w:hanging="176"/>
              <w:contextualSpacing/>
              <w:jc w:val="both"/>
              <w:rPr>
                <w:rFonts w:eastAsia="Calibri"/>
              </w:rPr>
            </w:pPr>
            <w:r>
              <w:rPr>
                <w:rFonts w:eastAsia="Calibri"/>
              </w:rPr>
              <w:t>Lako pristupačno</w:t>
            </w:r>
          </w:p>
        </w:tc>
        <w:tc>
          <w:tcPr>
            <w:tcW w:w="1261" w:type="dxa"/>
            <w:vAlign w:val="center"/>
          </w:tcPr>
          <w:p w14:paraId="6EB736AE" w14:textId="77777777" w:rsidR="00036C6A" w:rsidRPr="00627058" w:rsidRDefault="00036C6A" w:rsidP="002A7C86">
            <w:pPr>
              <w:contextualSpacing/>
              <w:jc w:val="center"/>
              <w:rPr>
                <w:rFonts w:eastAsia="Calibri"/>
              </w:rPr>
            </w:pPr>
            <w:r w:rsidRPr="00627058">
              <w:rPr>
                <w:rFonts w:eastAsia="Calibri"/>
              </w:rPr>
              <w:t>1300 m</w:t>
            </w:r>
            <w:r w:rsidRPr="00627058">
              <w:rPr>
                <w:rFonts w:eastAsia="Calibri"/>
                <w:vertAlign w:val="superscript"/>
              </w:rPr>
              <w:t>2</w:t>
            </w:r>
          </w:p>
        </w:tc>
        <w:tc>
          <w:tcPr>
            <w:tcW w:w="1276" w:type="dxa"/>
            <w:vAlign w:val="center"/>
          </w:tcPr>
          <w:p w14:paraId="05B9B5EA" w14:textId="77777777" w:rsidR="00036C6A" w:rsidRPr="00627058" w:rsidRDefault="00036C6A" w:rsidP="002A7C86">
            <w:pPr>
              <w:contextualSpacing/>
              <w:jc w:val="center"/>
              <w:rPr>
                <w:rFonts w:eastAsia="Calibri"/>
              </w:rPr>
            </w:pPr>
          </w:p>
        </w:tc>
        <w:tc>
          <w:tcPr>
            <w:tcW w:w="2126" w:type="dxa"/>
            <w:tcBorders>
              <w:right w:val="single" w:sz="12" w:space="0" w:color="auto"/>
            </w:tcBorders>
            <w:vAlign w:val="center"/>
          </w:tcPr>
          <w:p w14:paraId="4084797F" w14:textId="77777777" w:rsidR="00036C6A" w:rsidRDefault="00036C6A" w:rsidP="002A7C86">
            <w:pPr>
              <w:contextualSpacing/>
              <w:jc w:val="center"/>
              <w:rPr>
                <w:rFonts w:eastAsia="Calibri"/>
              </w:rPr>
            </w:pPr>
            <w:r>
              <w:rPr>
                <w:rFonts w:eastAsia="Calibri"/>
              </w:rPr>
              <w:t>20</w:t>
            </w:r>
            <w:r w:rsidRPr="00627058">
              <w:rPr>
                <w:rFonts w:eastAsia="Calibri"/>
              </w:rPr>
              <w:t xml:space="preserve"> m</w:t>
            </w:r>
            <w:r w:rsidRPr="00627058">
              <w:rPr>
                <w:rFonts w:eastAsia="Calibri"/>
                <w:vertAlign w:val="superscript"/>
              </w:rPr>
              <w:t>3</w:t>
            </w:r>
          </w:p>
        </w:tc>
      </w:tr>
      <w:tr w:rsidR="00036C6A" w:rsidRPr="00627058" w14:paraId="033B1DB8" w14:textId="77777777" w:rsidTr="002A7C86">
        <w:trPr>
          <w:jc w:val="center"/>
        </w:trPr>
        <w:tc>
          <w:tcPr>
            <w:tcW w:w="567" w:type="dxa"/>
            <w:tcBorders>
              <w:left w:val="single" w:sz="12" w:space="0" w:color="auto"/>
            </w:tcBorders>
            <w:vAlign w:val="center"/>
          </w:tcPr>
          <w:p w14:paraId="6BEFB8BA" w14:textId="77777777" w:rsidR="00036C6A" w:rsidRPr="00627058" w:rsidRDefault="00036C6A" w:rsidP="002A7C86">
            <w:pPr>
              <w:contextualSpacing/>
              <w:jc w:val="center"/>
              <w:rPr>
                <w:rFonts w:eastAsia="Calibri"/>
              </w:rPr>
            </w:pPr>
            <w:r>
              <w:rPr>
                <w:rFonts w:eastAsia="Calibri"/>
              </w:rPr>
              <w:t>2.</w:t>
            </w:r>
          </w:p>
        </w:tc>
        <w:tc>
          <w:tcPr>
            <w:tcW w:w="1843" w:type="dxa"/>
            <w:vAlign w:val="center"/>
          </w:tcPr>
          <w:p w14:paraId="668E9694" w14:textId="77777777" w:rsidR="00036C6A" w:rsidRPr="00627058" w:rsidRDefault="00036C6A" w:rsidP="002A7C86">
            <w:pPr>
              <w:contextualSpacing/>
              <w:jc w:val="center"/>
              <w:rPr>
                <w:rFonts w:eastAsia="Calibri"/>
              </w:rPr>
            </w:pPr>
            <w:r>
              <w:rPr>
                <w:rFonts w:eastAsia="Calibri"/>
              </w:rPr>
              <w:t>Polane</w:t>
            </w:r>
          </w:p>
        </w:tc>
        <w:tc>
          <w:tcPr>
            <w:tcW w:w="3402" w:type="dxa"/>
            <w:vAlign w:val="center"/>
          </w:tcPr>
          <w:p w14:paraId="073391E6" w14:textId="77777777" w:rsidR="00036C6A" w:rsidRPr="00627058" w:rsidRDefault="00036C6A" w:rsidP="002A7C86">
            <w:pPr>
              <w:numPr>
                <w:ilvl w:val="0"/>
                <w:numId w:val="1"/>
              </w:numPr>
              <w:ind w:left="176" w:hanging="176"/>
              <w:contextualSpacing/>
              <w:jc w:val="both"/>
              <w:rPr>
                <w:rFonts w:eastAsia="Calibri"/>
              </w:rPr>
            </w:pPr>
            <w:r>
              <w:rPr>
                <w:rFonts w:eastAsia="Calibri"/>
              </w:rPr>
              <w:t>Klapićeve njive k.č.. br.3203 k.o. Delnice , Lako</w:t>
            </w:r>
            <w:r w:rsidRPr="00627058">
              <w:rPr>
                <w:rFonts w:eastAsia="Calibri"/>
              </w:rPr>
              <w:t xml:space="preserve"> pristupačno </w:t>
            </w:r>
          </w:p>
        </w:tc>
        <w:tc>
          <w:tcPr>
            <w:tcW w:w="1261" w:type="dxa"/>
            <w:vAlign w:val="center"/>
          </w:tcPr>
          <w:p w14:paraId="6070C7C5" w14:textId="77777777" w:rsidR="00036C6A" w:rsidRPr="00627058" w:rsidRDefault="00036C6A" w:rsidP="002A7C86">
            <w:pPr>
              <w:contextualSpacing/>
              <w:jc w:val="center"/>
              <w:rPr>
                <w:rFonts w:eastAsia="Calibri"/>
              </w:rPr>
            </w:pPr>
            <w:r>
              <w:rPr>
                <w:rFonts w:eastAsia="Calibri"/>
              </w:rPr>
              <w:t>800</w:t>
            </w:r>
            <w:r w:rsidRPr="00627058">
              <w:rPr>
                <w:rFonts w:eastAsia="Calibri"/>
              </w:rPr>
              <w:t xml:space="preserve"> m</w:t>
            </w:r>
            <w:r w:rsidRPr="00627058">
              <w:rPr>
                <w:rFonts w:eastAsia="Calibri"/>
                <w:vertAlign w:val="superscript"/>
              </w:rPr>
              <w:t>2</w:t>
            </w:r>
          </w:p>
        </w:tc>
        <w:tc>
          <w:tcPr>
            <w:tcW w:w="1276" w:type="dxa"/>
            <w:vAlign w:val="center"/>
          </w:tcPr>
          <w:p w14:paraId="61ACB8A4" w14:textId="77777777" w:rsidR="00036C6A" w:rsidRPr="00627058" w:rsidRDefault="00036C6A" w:rsidP="002A7C86">
            <w:pPr>
              <w:numPr>
                <w:ilvl w:val="0"/>
                <w:numId w:val="3"/>
              </w:numPr>
              <w:ind w:left="175" w:hanging="175"/>
              <w:contextualSpacing/>
              <w:jc w:val="both"/>
              <w:rPr>
                <w:rFonts w:eastAsia="Calibri"/>
              </w:rPr>
            </w:pPr>
            <w:r w:rsidRPr="00627058">
              <w:rPr>
                <w:rFonts w:eastAsia="Calibri"/>
              </w:rPr>
              <w:t>Mješoviti krupni otpad</w:t>
            </w:r>
          </w:p>
          <w:p w14:paraId="3A3450E2" w14:textId="77777777" w:rsidR="00036C6A" w:rsidRPr="00627058" w:rsidRDefault="00036C6A" w:rsidP="002A7C86">
            <w:pPr>
              <w:numPr>
                <w:ilvl w:val="0"/>
                <w:numId w:val="3"/>
              </w:numPr>
              <w:ind w:left="175" w:hanging="175"/>
              <w:contextualSpacing/>
              <w:jc w:val="both"/>
              <w:rPr>
                <w:rFonts w:eastAsia="Calibri"/>
              </w:rPr>
            </w:pPr>
            <w:r w:rsidRPr="00627058">
              <w:rPr>
                <w:rFonts w:eastAsia="Calibri"/>
              </w:rPr>
              <w:t>Komunalni otpad</w:t>
            </w:r>
          </w:p>
          <w:p w14:paraId="040FB7C3" w14:textId="77777777" w:rsidR="00036C6A" w:rsidRPr="00627058" w:rsidRDefault="00036C6A" w:rsidP="002A7C86">
            <w:pPr>
              <w:ind w:left="175"/>
              <w:contextualSpacing/>
              <w:jc w:val="both"/>
              <w:rPr>
                <w:rFonts w:eastAsia="Calibri"/>
              </w:rPr>
            </w:pPr>
          </w:p>
        </w:tc>
        <w:tc>
          <w:tcPr>
            <w:tcW w:w="2126" w:type="dxa"/>
            <w:tcBorders>
              <w:right w:val="single" w:sz="12" w:space="0" w:color="auto"/>
            </w:tcBorders>
            <w:vAlign w:val="center"/>
          </w:tcPr>
          <w:p w14:paraId="6A095628" w14:textId="77777777" w:rsidR="00036C6A" w:rsidRDefault="00036C6A" w:rsidP="002A7C86">
            <w:pPr>
              <w:contextualSpacing/>
              <w:jc w:val="center"/>
              <w:rPr>
                <w:rFonts w:eastAsia="Calibri"/>
              </w:rPr>
            </w:pPr>
            <w:r>
              <w:rPr>
                <w:rFonts w:eastAsia="Calibri"/>
              </w:rPr>
              <w:t>5</w:t>
            </w:r>
            <w:r w:rsidRPr="00627058">
              <w:rPr>
                <w:rFonts w:eastAsia="Calibri"/>
              </w:rPr>
              <w:t xml:space="preserve"> m</w:t>
            </w:r>
            <w:r w:rsidRPr="00627058">
              <w:rPr>
                <w:rFonts w:eastAsia="Calibri"/>
                <w:vertAlign w:val="superscript"/>
              </w:rPr>
              <w:t>3</w:t>
            </w:r>
          </w:p>
        </w:tc>
      </w:tr>
      <w:tr w:rsidR="00036C6A" w:rsidRPr="00627058" w14:paraId="12E8AF5A" w14:textId="77777777" w:rsidTr="002A7C86">
        <w:trPr>
          <w:jc w:val="center"/>
        </w:trPr>
        <w:tc>
          <w:tcPr>
            <w:tcW w:w="567" w:type="dxa"/>
            <w:tcBorders>
              <w:left w:val="single" w:sz="12" w:space="0" w:color="auto"/>
            </w:tcBorders>
            <w:vAlign w:val="center"/>
          </w:tcPr>
          <w:p w14:paraId="0DEFBF83" w14:textId="77777777" w:rsidR="00036C6A" w:rsidRDefault="00036C6A" w:rsidP="002A7C86">
            <w:pPr>
              <w:contextualSpacing/>
              <w:jc w:val="center"/>
              <w:rPr>
                <w:rFonts w:eastAsia="Calibri"/>
              </w:rPr>
            </w:pPr>
            <w:r>
              <w:rPr>
                <w:rFonts w:eastAsia="Calibri"/>
              </w:rPr>
              <w:t>3.</w:t>
            </w:r>
          </w:p>
        </w:tc>
        <w:tc>
          <w:tcPr>
            <w:tcW w:w="1843" w:type="dxa"/>
            <w:vAlign w:val="center"/>
          </w:tcPr>
          <w:p w14:paraId="4192C9C0" w14:textId="77777777" w:rsidR="00036C6A" w:rsidRDefault="00036C6A" w:rsidP="002A7C86">
            <w:pPr>
              <w:contextualSpacing/>
              <w:jc w:val="center"/>
              <w:rPr>
                <w:rFonts w:eastAsia="Calibri"/>
              </w:rPr>
            </w:pPr>
            <w:r>
              <w:rPr>
                <w:rFonts w:eastAsia="Calibri"/>
              </w:rPr>
              <w:t>Polane</w:t>
            </w:r>
          </w:p>
        </w:tc>
        <w:tc>
          <w:tcPr>
            <w:tcW w:w="3402" w:type="dxa"/>
            <w:vAlign w:val="center"/>
          </w:tcPr>
          <w:p w14:paraId="3752AE55" w14:textId="77777777" w:rsidR="00036C6A" w:rsidRDefault="00036C6A" w:rsidP="002A7C86">
            <w:pPr>
              <w:numPr>
                <w:ilvl w:val="0"/>
                <w:numId w:val="1"/>
              </w:numPr>
              <w:ind w:left="176" w:hanging="176"/>
              <w:contextualSpacing/>
              <w:jc w:val="both"/>
              <w:rPr>
                <w:rFonts w:eastAsia="Calibri"/>
              </w:rPr>
            </w:pPr>
            <w:r>
              <w:rPr>
                <w:rFonts w:eastAsia="Calibri"/>
              </w:rPr>
              <w:t>Dedinske drage k.č. br. 3292/5, k.o. Delnice</w:t>
            </w:r>
          </w:p>
        </w:tc>
        <w:tc>
          <w:tcPr>
            <w:tcW w:w="1261" w:type="dxa"/>
            <w:vAlign w:val="center"/>
          </w:tcPr>
          <w:p w14:paraId="79F6B5B6" w14:textId="77777777" w:rsidR="00036C6A" w:rsidRDefault="00036C6A" w:rsidP="002A7C86">
            <w:pPr>
              <w:contextualSpacing/>
              <w:jc w:val="center"/>
              <w:rPr>
                <w:rFonts w:eastAsia="Calibri"/>
              </w:rPr>
            </w:pPr>
            <w:r w:rsidRPr="00627058">
              <w:rPr>
                <w:rFonts w:eastAsia="Calibri"/>
              </w:rPr>
              <w:t>1300 m</w:t>
            </w:r>
            <w:r w:rsidRPr="00627058">
              <w:rPr>
                <w:rFonts w:eastAsia="Calibri"/>
                <w:vertAlign w:val="superscript"/>
              </w:rPr>
              <w:t>2</w:t>
            </w:r>
          </w:p>
        </w:tc>
        <w:tc>
          <w:tcPr>
            <w:tcW w:w="1276" w:type="dxa"/>
            <w:vAlign w:val="center"/>
          </w:tcPr>
          <w:p w14:paraId="08A60839" w14:textId="77777777" w:rsidR="00036C6A" w:rsidRPr="00627058" w:rsidRDefault="00036C6A" w:rsidP="002A7C86">
            <w:pPr>
              <w:numPr>
                <w:ilvl w:val="0"/>
                <w:numId w:val="3"/>
              </w:numPr>
              <w:ind w:left="175" w:hanging="175"/>
              <w:contextualSpacing/>
              <w:jc w:val="both"/>
              <w:rPr>
                <w:rFonts w:eastAsia="Calibri"/>
              </w:rPr>
            </w:pPr>
            <w:r w:rsidRPr="00627058">
              <w:rPr>
                <w:rFonts w:eastAsia="Calibri"/>
              </w:rPr>
              <w:t>Mješoviti krupni otpad</w:t>
            </w:r>
          </w:p>
          <w:p w14:paraId="649624FB" w14:textId="77777777" w:rsidR="00036C6A" w:rsidRPr="00627058" w:rsidRDefault="00036C6A" w:rsidP="002A7C86">
            <w:pPr>
              <w:numPr>
                <w:ilvl w:val="0"/>
                <w:numId w:val="3"/>
              </w:numPr>
              <w:ind w:left="175" w:hanging="175"/>
              <w:contextualSpacing/>
              <w:jc w:val="both"/>
              <w:rPr>
                <w:rFonts w:eastAsia="Calibri"/>
              </w:rPr>
            </w:pPr>
            <w:r w:rsidRPr="00627058">
              <w:rPr>
                <w:rFonts w:eastAsia="Calibri"/>
              </w:rPr>
              <w:t>Komunalni otpad</w:t>
            </w:r>
          </w:p>
          <w:p w14:paraId="6F15ACD0" w14:textId="77777777" w:rsidR="00036C6A" w:rsidRPr="00627058" w:rsidRDefault="00036C6A" w:rsidP="002A7C86">
            <w:pPr>
              <w:ind w:left="175"/>
              <w:contextualSpacing/>
              <w:jc w:val="both"/>
              <w:rPr>
                <w:rFonts w:eastAsia="Calibri"/>
              </w:rPr>
            </w:pPr>
          </w:p>
        </w:tc>
        <w:tc>
          <w:tcPr>
            <w:tcW w:w="2126" w:type="dxa"/>
            <w:tcBorders>
              <w:right w:val="single" w:sz="12" w:space="0" w:color="auto"/>
            </w:tcBorders>
            <w:vAlign w:val="center"/>
          </w:tcPr>
          <w:p w14:paraId="2D939C87" w14:textId="77777777" w:rsidR="00036C6A" w:rsidRDefault="00036C6A" w:rsidP="002A7C86">
            <w:pPr>
              <w:contextualSpacing/>
              <w:jc w:val="center"/>
              <w:rPr>
                <w:rFonts w:eastAsia="Calibri"/>
              </w:rPr>
            </w:pPr>
            <w:r>
              <w:rPr>
                <w:rFonts w:eastAsia="Calibri"/>
              </w:rPr>
              <w:t>20</w:t>
            </w:r>
            <w:r w:rsidRPr="00627058">
              <w:rPr>
                <w:rFonts w:eastAsia="Calibri"/>
              </w:rPr>
              <w:t xml:space="preserve"> m</w:t>
            </w:r>
            <w:r w:rsidRPr="00627058">
              <w:rPr>
                <w:rFonts w:eastAsia="Calibri"/>
                <w:vertAlign w:val="superscript"/>
              </w:rPr>
              <w:t>3</w:t>
            </w:r>
          </w:p>
        </w:tc>
      </w:tr>
      <w:tr w:rsidR="00036C6A" w:rsidRPr="00627058" w14:paraId="18EC5285" w14:textId="77777777" w:rsidTr="002A7C86">
        <w:trPr>
          <w:jc w:val="center"/>
        </w:trPr>
        <w:tc>
          <w:tcPr>
            <w:tcW w:w="567" w:type="dxa"/>
            <w:tcBorders>
              <w:left w:val="single" w:sz="12" w:space="0" w:color="auto"/>
            </w:tcBorders>
            <w:vAlign w:val="center"/>
          </w:tcPr>
          <w:p w14:paraId="039BCE0A" w14:textId="77777777" w:rsidR="00036C6A" w:rsidRPr="00627058" w:rsidRDefault="00036C6A" w:rsidP="002A7C86">
            <w:pPr>
              <w:contextualSpacing/>
              <w:jc w:val="center"/>
              <w:rPr>
                <w:rFonts w:eastAsia="Calibri"/>
              </w:rPr>
            </w:pPr>
            <w:r>
              <w:rPr>
                <w:rFonts w:eastAsia="Calibri"/>
              </w:rPr>
              <w:t>4.</w:t>
            </w:r>
          </w:p>
        </w:tc>
        <w:tc>
          <w:tcPr>
            <w:tcW w:w="1843" w:type="dxa"/>
            <w:vAlign w:val="center"/>
          </w:tcPr>
          <w:p w14:paraId="0B3C0DE8" w14:textId="77777777" w:rsidR="00036C6A" w:rsidRPr="00627058" w:rsidRDefault="00036C6A" w:rsidP="002A7C86">
            <w:pPr>
              <w:contextualSpacing/>
              <w:jc w:val="center"/>
              <w:rPr>
                <w:rFonts w:eastAsia="Calibri"/>
              </w:rPr>
            </w:pPr>
            <w:r w:rsidRPr="00627058">
              <w:rPr>
                <w:rFonts w:eastAsia="Calibri"/>
              </w:rPr>
              <w:t>6 Ugibališta</w:t>
            </w:r>
          </w:p>
          <w:p w14:paraId="19EE4092" w14:textId="77777777" w:rsidR="00036C6A" w:rsidRPr="00627058" w:rsidRDefault="00036C6A" w:rsidP="002A7C86">
            <w:pPr>
              <w:contextualSpacing/>
              <w:jc w:val="center"/>
              <w:rPr>
                <w:rFonts w:eastAsia="Calibri"/>
              </w:rPr>
            </w:pPr>
            <w:r w:rsidRPr="00627058">
              <w:rPr>
                <w:rFonts w:eastAsia="Calibri"/>
              </w:rPr>
              <w:t>Delnice - Zalesina</w:t>
            </w:r>
          </w:p>
        </w:tc>
        <w:tc>
          <w:tcPr>
            <w:tcW w:w="3402" w:type="dxa"/>
            <w:vAlign w:val="center"/>
          </w:tcPr>
          <w:p w14:paraId="642FD8DC" w14:textId="77777777" w:rsidR="00036C6A" w:rsidRPr="00627058" w:rsidRDefault="00036C6A" w:rsidP="002A7C86">
            <w:pPr>
              <w:numPr>
                <w:ilvl w:val="0"/>
                <w:numId w:val="1"/>
              </w:numPr>
              <w:contextualSpacing/>
              <w:jc w:val="both"/>
              <w:rPr>
                <w:rFonts w:eastAsia="Calibri"/>
              </w:rPr>
            </w:pPr>
            <w:r w:rsidRPr="00627058">
              <w:rPr>
                <w:rFonts w:eastAsia="Calibri"/>
              </w:rPr>
              <w:t>Lijeva strana DC3 između Delnica i Zalesine, smjer Rijeka - Zagreb</w:t>
            </w:r>
          </w:p>
          <w:p w14:paraId="1A9F5620" w14:textId="77777777" w:rsidR="00036C6A" w:rsidRPr="00627058" w:rsidRDefault="00036C6A" w:rsidP="002A7C86">
            <w:pPr>
              <w:numPr>
                <w:ilvl w:val="0"/>
                <w:numId w:val="1"/>
              </w:numPr>
              <w:contextualSpacing/>
              <w:jc w:val="both"/>
              <w:rPr>
                <w:rFonts w:eastAsia="Calibri"/>
              </w:rPr>
            </w:pPr>
            <w:r w:rsidRPr="00627058">
              <w:rPr>
                <w:rFonts w:eastAsia="Calibri"/>
              </w:rPr>
              <w:t>kč. br.: 11215/6, 2770/9, 2745, 2940, 2966, 2972</w:t>
            </w:r>
          </w:p>
          <w:p w14:paraId="6DB7DA2C" w14:textId="77777777" w:rsidR="00036C6A" w:rsidRPr="00627058" w:rsidRDefault="00036C6A" w:rsidP="002A7C86">
            <w:pPr>
              <w:numPr>
                <w:ilvl w:val="0"/>
                <w:numId w:val="1"/>
              </w:numPr>
              <w:contextualSpacing/>
              <w:jc w:val="both"/>
              <w:rPr>
                <w:rFonts w:eastAsia="Calibri"/>
              </w:rPr>
            </w:pPr>
            <w:r w:rsidRPr="00627058">
              <w:rPr>
                <w:rFonts w:eastAsia="Calibri"/>
              </w:rPr>
              <w:t>k.o. Delnice I</w:t>
            </w:r>
          </w:p>
          <w:p w14:paraId="4139ADF0" w14:textId="77777777" w:rsidR="00036C6A" w:rsidRPr="00627058" w:rsidRDefault="00036C6A" w:rsidP="002A7C86">
            <w:pPr>
              <w:numPr>
                <w:ilvl w:val="0"/>
                <w:numId w:val="1"/>
              </w:numPr>
              <w:contextualSpacing/>
              <w:jc w:val="both"/>
              <w:rPr>
                <w:rFonts w:eastAsia="Calibri"/>
              </w:rPr>
            </w:pPr>
            <w:r w:rsidRPr="00627058">
              <w:rPr>
                <w:rFonts w:eastAsia="Calibri"/>
              </w:rPr>
              <w:t>Teško pristupačno (padine)</w:t>
            </w:r>
          </w:p>
        </w:tc>
        <w:tc>
          <w:tcPr>
            <w:tcW w:w="1261" w:type="dxa"/>
            <w:vAlign w:val="center"/>
          </w:tcPr>
          <w:p w14:paraId="5CD2B603" w14:textId="77777777" w:rsidR="00036C6A" w:rsidRPr="00627058" w:rsidRDefault="00036C6A" w:rsidP="002A7C86">
            <w:pPr>
              <w:contextualSpacing/>
              <w:jc w:val="center"/>
              <w:rPr>
                <w:rFonts w:eastAsia="Calibri"/>
              </w:rPr>
            </w:pPr>
            <w:r w:rsidRPr="00627058">
              <w:rPr>
                <w:rFonts w:eastAsia="Calibri"/>
              </w:rPr>
              <w:t>2500 m</w:t>
            </w:r>
            <w:r w:rsidRPr="00627058">
              <w:rPr>
                <w:rFonts w:eastAsia="Calibri"/>
                <w:vertAlign w:val="superscript"/>
              </w:rPr>
              <w:t>2</w:t>
            </w:r>
          </w:p>
        </w:tc>
        <w:tc>
          <w:tcPr>
            <w:tcW w:w="1276" w:type="dxa"/>
            <w:vAlign w:val="center"/>
          </w:tcPr>
          <w:p w14:paraId="1A9D8B86" w14:textId="77777777" w:rsidR="00036C6A" w:rsidRPr="00627058" w:rsidRDefault="00036C6A" w:rsidP="002A7C86">
            <w:pPr>
              <w:numPr>
                <w:ilvl w:val="0"/>
                <w:numId w:val="3"/>
              </w:numPr>
              <w:ind w:left="175" w:hanging="175"/>
              <w:contextualSpacing/>
              <w:jc w:val="both"/>
              <w:rPr>
                <w:rFonts w:eastAsia="Calibri"/>
              </w:rPr>
            </w:pPr>
            <w:r w:rsidRPr="00627058">
              <w:rPr>
                <w:rFonts w:eastAsia="Calibri"/>
              </w:rPr>
              <w:t>Mješoviti krupni otpad</w:t>
            </w:r>
          </w:p>
          <w:p w14:paraId="28FE65E1" w14:textId="77777777" w:rsidR="00036C6A" w:rsidRPr="00627058" w:rsidRDefault="00036C6A" w:rsidP="002A7C86">
            <w:pPr>
              <w:numPr>
                <w:ilvl w:val="0"/>
                <w:numId w:val="3"/>
              </w:numPr>
              <w:ind w:left="175" w:hanging="175"/>
              <w:contextualSpacing/>
              <w:jc w:val="both"/>
              <w:rPr>
                <w:rFonts w:eastAsia="Calibri"/>
              </w:rPr>
            </w:pPr>
            <w:r w:rsidRPr="00627058">
              <w:rPr>
                <w:rFonts w:eastAsia="Calibri"/>
              </w:rPr>
              <w:t>Komunalni otpad</w:t>
            </w:r>
          </w:p>
          <w:p w14:paraId="4297262E" w14:textId="77777777" w:rsidR="00036C6A" w:rsidRPr="00627058" w:rsidRDefault="00036C6A" w:rsidP="002A7C86">
            <w:pPr>
              <w:contextualSpacing/>
              <w:jc w:val="both"/>
              <w:rPr>
                <w:rFonts w:eastAsia="Calibri"/>
              </w:rPr>
            </w:pPr>
          </w:p>
        </w:tc>
        <w:tc>
          <w:tcPr>
            <w:tcW w:w="2126" w:type="dxa"/>
            <w:tcBorders>
              <w:right w:val="single" w:sz="12" w:space="0" w:color="auto"/>
            </w:tcBorders>
            <w:vAlign w:val="center"/>
          </w:tcPr>
          <w:p w14:paraId="3BA08A74" w14:textId="77777777" w:rsidR="00036C6A" w:rsidRDefault="00036C6A" w:rsidP="002A7C86">
            <w:pPr>
              <w:contextualSpacing/>
              <w:jc w:val="center"/>
              <w:rPr>
                <w:rFonts w:eastAsia="Calibri"/>
              </w:rPr>
            </w:pPr>
            <w:r>
              <w:rPr>
                <w:rFonts w:eastAsia="Calibri"/>
              </w:rPr>
              <w:t>30</w:t>
            </w:r>
            <w:r w:rsidRPr="00627058">
              <w:rPr>
                <w:rFonts w:eastAsia="Calibri"/>
              </w:rPr>
              <w:t xml:space="preserve"> m</w:t>
            </w:r>
            <w:r w:rsidRPr="00627058">
              <w:rPr>
                <w:rFonts w:eastAsia="Calibri"/>
                <w:vertAlign w:val="superscript"/>
              </w:rPr>
              <w:t>3</w:t>
            </w:r>
          </w:p>
        </w:tc>
      </w:tr>
      <w:tr w:rsidR="00036C6A" w:rsidRPr="00627058" w14:paraId="16739092" w14:textId="77777777" w:rsidTr="002A7C86">
        <w:trPr>
          <w:jc w:val="center"/>
        </w:trPr>
        <w:tc>
          <w:tcPr>
            <w:tcW w:w="567" w:type="dxa"/>
            <w:tcBorders>
              <w:left w:val="single" w:sz="12" w:space="0" w:color="auto"/>
            </w:tcBorders>
            <w:vAlign w:val="center"/>
          </w:tcPr>
          <w:p w14:paraId="3D266BA5" w14:textId="77777777" w:rsidR="00036C6A" w:rsidRPr="00627058" w:rsidRDefault="00036C6A" w:rsidP="002A7C86">
            <w:pPr>
              <w:contextualSpacing/>
              <w:jc w:val="center"/>
              <w:rPr>
                <w:rFonts w:eastAsia="Calibri"/>
              </w:rPr>
            </w:pPr>
            <w:r>
              <w:rPr>
                <w:rFonts w:eastAsia="Calibri"/>
              </w:rPr>
              <w:t>5.</w:t>
            </w:r>
          </w:p>
        </w:tc>
        <w:tc>
          <w:tcPr>
            <w:tcW w:w="1843" w:type="dxa"/>
            <w:vAlign w:val="center"/>
          </w:tcPr>
          <w:p w14:paraId="05FC5CAE" w14:textId="77777777" w:rsidR="00036C6A" w:rsidRPr="00627058" w:rsidRDefault="00036C6A" w:rsidP="002A7C86">
            <w:pPr>
              <w:contextualSpacing/>
              <w:jc w:val="center"/>
              <w:rPr>
                <w:rFonts w:eastAsia="Calibri"/>
              </w:rPr>
            </w:pPr>
            <w:r w:rsidRPr="00627058">
              <w:rPr>
                <w:rFonts w:eastAsia="Calibri"/>
              </w:rPr>
              <w:t>Zalesina</w:t>
            </w:r>
          </w:p>
        </w:tc>
        <w:tc>
          <w:tcPr>
            <w:tcW w:w="3402" w:type="dxa"/>
            <w:vAlign w:val="center"/>
          </w:tcPr>
          <w:p w14:paraId="3D7C3A7B" w14:textId="77777777" w:rsidR="00036C6A" w:rsidRPr="00627058" w:rsidRDefault="00036C6A" w:rsidP="002A7C86">
            <w:pPr>
              <w:numPr>
                <w:ilvl w:val="0"/>
                <w:numId w:val="1"/>
              </w:numPr>
              <w:ind w:left="176" w:hanging="176"/>
              <w:contextualSpacing/>
              <w:jc w:val="both"/>
              <w:rPr>
                <w:rFonts w:eastAsia="Calibri"/>
              </w:rPr>
            </w:pPr>
            <w:r w:rsidRPr="00627058">
              <w:rPr>
                <w:rFonts w:eastAsia="Calibri"/>
              </w:rPr>
              <w:t>Ugibalište prije Zalesine s lijeve strane DC3  u smjeru Ri → Zg</w:t>
            </w:r>
          </w:p>
          <w:p w14:paraId="61DC4E28" w14:textId="77777777" w:rsidR="00036C6A" w:rsidRPr="00627058" w:rsidRDefault="00036C6A" w:rsidP="002A7C86">
            <w:pPr>
              <w:numPr>
                <w:ilvl w:val="0"/>
                <w:numId w:val="1"/>
              </w:numPr>
              <w:ind w:left="176" w:hanging="176"/>
              <w:contextualSpacing/>
              <w:jc w:val="both"/>
              <w:rPr>
                <w:rFonts w:eastAsia="Calibri"/>
              </w:rPr>
            </w:pPr>
            <w:r w:rsidRPr="00627058">
              <w:rPr>
                <w:rFonts w:eastAsia="Calibri"/>
              </w:rPr>
              <w:t>kč. br.: 11215/1</w:t>
            </w:r>
          </w:p>
          <w:p w14:paraId="5BAF4DB0" w14:textId="77777777" w:rsidR="00036C6A" w:rsidRPr="00627058" w:rsidRDefault="00036C6A" w:rsidP="002A7C86">
            <w:pPr>
              <w:numPr>
                <w:ilvl w:val="0"/>
                <w:numId w:val="1"/>
              </w:numPr>
              <w:ind w:left="176" w:hanging="176"/>
              <w:contextualSpacing/>
              <w:jc w:val="both"/>
              <w:rPr>
                <w:rFonts w:eastAsia="Calibri"/>
              </w:rPr>
            </w:pPr>
            <w:r w:rsidRPr="00627058">
              <w:rPr>
                <w:rFonts w:eastAsia="Calibri"/>
              </w:rPr>
              <w:t>k.o. Delnice I</w:t>
            </w:r>
          </w:p>
          <w:p w14:paraId="6F444E1F" w14:textId="77777777" w:rsidR="00036C6A" w:rsidRPr="00627058" w:rsidRDefault="00036C6A" w:rsidP="002A7C86">
            <w:pPr>
              <w:numPr>
                <w:ilvl w:val="0"/>
                <w:numId w:val="1"/>
              </w:numPr>
              <w:ind w:left="176" w:hanging="176"/>
              <w:contextualSpacing/>
              <w:jc w:val="both"/>
              <w:rPr>
                <w:rFonts w:eastAsia="Calibri"/>
              </w:rPr>
            </w:pPr>
            <w:r w:rsidRPr="00627058">
              <w:rPr>
                <w:rFonts w:eastAsia="Calibri"/>
              </w:rPr>
              <w:t>HTRS96: E=372186, N=5028433</w:t>
            </w:r>
          </w:p>
          <w:p w14:paraId="2A75FEC3" w14:textId="77777777" w:rsidR="00036C6A" w:rsidRPr="00627058" w:rsidRDefault="00036C6A" w:rsidP="002A7C86">
            <w:pPr>
              <w:numPr>
                <w:ilvl w:val="0"/>
                <w:numId w:val="1"/>
              </w:numPr>
              <w:ind w:left="176" w:hanging="176"/>
              <w:contextualSpacing/>
              <w:jc w:val="both"/>
              <w:rPr>
                <w:rFonts w:eastAsia="Calibri"/>
              </w:rPr>
            </w:pPr>
            <w:r w:rsidRPr="00627058">
              <w:rPr>
                <w:rFonts w:eastAsia="Calibri"/>
              </w:rPr>
              <w:t>Teško pristupačno (padina)</w:t>
            </w:r>
          </w:p>
        </w:tc>
        <w:tc>
          <w:tcPr>
            <w:tcW w:w="1261" w:type="dxa"/>
            <w:vAlign w:val="center"/>
          </w:tcPr>
          <w:p w14:paraId="0BBB504A" w14:textId="77777777" w:rsidR="00036C6A" w:rsidRPr="00627058" w:rsidRDefault="00036C6A" w:rsidP="002A7C86">
            <w:pPr>
              <w:contextualSpacing/>
              <w:jc w:val="center"/>
              <w:rPr>
                <w:rFonts w:eastAsia="Calibri"/>
              </w:rPr>
            </w:pPr>
            <w:r w:rsidRPr="00627058">
              <w:rPr>
                <w:rFonts w:eastAsia="Calibri"/>
              </w:rPr>
              <w:t>1300 m</w:t>
            </w:r>
            <w:r w:rsidRPr="00627058">
              <w:rPr>
                <w:rFonts w:eastAsia="Calibri"/>
                <w:vertAlign w:val="superscript"/>
              </w:rPr>
              <w:t>2</w:t>
            </w:r>
          </w:p>
        </w:tc>
        <w:tc>
          <w:tcPr>
            <w:tcW w:w="1276" w:type="dxa"/>
            <w:vAlign w:val="center"/>
          </w:tcPr>
          <w:p w14:paraId="2C03EB5E" w14:textId="77777777" w:rsidR="00036C6A" w:rsidRPr="00627058" w:rsidRDefault="00036C6A" w:rsidP="002A7C86">
            <w:pPr>
              <w:numPr>
                <w:ilvl w:val="0"/>
                <w:numId w:val="3"/>
              </w:numPr>
              <w:ind w:left="175" w:hanging="175"/>
              <w:contextualSpacing/>
              <w:jc w:val="both"/>
              <w:rPr>
                <w:rFonts w:eastAsia="Calibri"/>
              </w:rPr>
            </w:pPr>
            <w:r w:rsidRPr="00627058">
              <w:rPr>
                <w:rFonts w:eastAsia="Calibri"/>
              </w:rPr>
              <w:t>Mješovi</w:t>
            </w:r>
            <w:r>
              <w:rPr>
                <w:rFonts w:eastAsia="Calibri"/>
              </w:rPr>
              <w:t>ti</w:t>
            </w:r>
            <w:r w:rsidRPr="00627058">
              <w:rPr>
                <w:rFonts w:eastAsia="Calibri"/>
              </w:rPr>
              <w:t xml:space="preserve"> otpad</w:t>
            </w:r>
          </w:p>
          <w:p w14:paraId="2D694FBD" w14:textId="77777777" w:rsidR="00036C6A" w:rsidRPr="00627058" w:rsidRDefault="00036C6A" w:rsidP="002A7C86">
            <w:pPr>
              <w:numPr>
                <w:ilvl w:val="0"/>
                <w:numId w:val="3"/>
              </w:numPr>
              <w:ind w:left="175" w:hanging="175"/>
              <w:contextualSpacing/>
              <w:jc w:val="both"/>
              <w:rPr>
                <w:rFonts w:eastAsia="Calibri"/>
              </w:rPr>
            </w:pPr>
            <w:r w:rsidRPr="00627058">
              <w:rPr>
                <w:rFonts w:eastAsia="Calibri"/>
              </w:rPr>
              <w:t>Komunalni otpad</w:t>
            </w:r>
          </w:p>
          <w:p w14:paraId="3C24D04A" w14:textId="77777777" w:rsidR="00036C6A" w:rsidRPr="00627058" w:rsidRDefault="00036C6A" w:rsidP="002A7C86">
            <w:pPr>
              <w:ind w:left="175"/>
              <w:contextualSpacing/>
              <w:jc w:val="both"/>
              <w:rPr>
                <w:rFonts w:eastAsia="Calibri"/>
              </w:rPr>
            </w:pPr>
          </w:p>
        </w:tc>
        <w:tc>
          <w:tcPr>
            <w:tcW w:w="2126" w:type="dxa"/>
            <w:tcBorders>
              <w:right w:val="single" w:sz="12" w:space="0" w:color="auto"/>
            </w:tcBorders>
            <w:vAlign w:val="center"/>
          </w:tcPr>
          <w:p w14:paraId="6B577D6C" w14:textId="77777777" w:rsidR="00036C6A" w:rsidRDefault="00036C6A" w:rsidP="002A7C86">
            <w:pPr>
              <w:contextualSpacing/>
              <w:jc w:val="center"/>
              <w:rPr>
                <w:rFonts w:eastAsia="Calibri"/>
              </w:rPr>
            </w:pPr>
            <w:r>
              <w:rPr>
                <w:rFonts w:eastAsia="Calibri"/>
              </w:rPr>
              <w:t>140</w:t>
            </w:r>
            <w:r w:rsidRPr="00627058">
              <w:rPr>
                <w:rFonts w:eastAsia="Calibri"/>
              </w:rPr>
              <w:t xml:space="preserve"> m</w:t>
            </w:r>
            <w:r w:rsidRPr="00627058">
              <w:rPr>
                <w:rFonts w:eastAsia="Calibri"/>
                <w:vertAlign w:val="superscript"/>
              </w:rPr>
              <w:t>3</w:t>
            </w:r>
          </w:p>
        </w:tc>
      </w:tr>
      <w:tr w:rsidR="00036C6A" w:rsidRPr="00627058" w14:paraId="23C48C12" w14:textId="77777777" w:rsidTr="002A7C86">
        <w:trPr>
          <w:jc w:val="center"/>
        </w:trPr>
        <w:tc>
          <w:tcPr>
            <w:tcW w:w="567" w:type="dxa"/>
            <w:tcBorders>
              <w:left w:val="single" w:sz="12" w:space="0" w:color="auto"/>
            </w:tcBorders>
            <w:vAlign w:val="center"/>
          </w:tcPr>
          <w:p w14:paraId="6A7E0016" w14:textId="77777777" w:rsidR="00036C6A" w:rsidRDefault="00036C6A" w:rsidP="002A7C86">
            <w:pPr>
              <w:contextualSpacing/>
              <w:jc w:val="center"/>
              <w:rPr>
                <w:rFonts w:eastAsia="Calibri"/>
              </w:rPr>
            </w:pPr>
          </w:p>
        </w:tc>
        <w:tc>
          <w:tcPr>
            <w:tcW w:w="1843" w:type="dxa"/>
            <w:vAlign w:val="center"/>
          </w:tcPr>
          <w:p w14:paraId="7ED63E08" w14:textId="77777777" w:rsidR="00036C6A" w:rsidRDefault="00036C6A" w:rsidP="002A7C86">
            <w:pPr>
              <w:contextualSpacing/>
              <w:jc w:val="center"/>
              <w:rPr>
                <w:rFonts w:eastAsia="Calibri"/>
              </w:rPr>
            </w:pPr>
          </w:p>
        </w:tc>
        <w:tc>
          <w:tcPr>
            <w:tcW w:w="3402" w:type="dxa"/>
            <w:vAlign w:val="center"/>
          </w:tcPr>
          <w:p w14:paraId="7C16A446" w14:textId="77777777" w:rsidR="00036C6A" w:rsidRPr="006A18A8" w:rsidRDefault="00036C6A" w:rsidP="002A7C86">
            <w:pPr>
              <w:ind w:left="176"/>
              <w:contextualSpacing/>
              <w:jc w:val="both"/>
              <w:rPr>
                <w:rFonts w:eastAsia="Calibri"/>
                <w:b/>
                <w:bCs/>
              </w:rPr>
            </w:pPr>
            <w:r w:rsidRPr="006A18A8">
              <w:rPr>
                <w:rFonts w:eastAsia="Calibri"/>
                <w:b/>
                <w:bCs/>
              </w:rPr>
              <w:t>UKUPNO</w:t>
            </w:r>
            <w:r>
              <w:rPr>
                <w:rFonts w:eastAsia="Calibri"/>
              </w:rPr>
              <w:t>:</w:t>
            </w:r>
          </w:p>
        </w:tc>
        <w:tc>
          <w:tcPr>
            <w:tcW w:w="1261" w:type="dxa"/>
            <w:vAlign w:val="center"/>
          </w:tcPr>
          <w:p w14:paraId="0BA91CE0" w14:textId="77777777" w:rsidR="00036C6A" w:rsidRDefault="00036C6A" w:rsidP="002A7C86">
            <w:pPr>
              <w:contextualSpacing/>
              <w:jc w:val="center"/>
              <w:rPr>
                <w:rFonts w:eastAsia="Calibri"/>
              </w:rPr>
            </w:pPr>
          </w:p>
        </w:tc>
        <w:tc>
          <w:tcPr>
            <w:tcW w:w="1276" w:type="dxa"/>
            <w:vAlign w:val="center"/>
          </w:tcPr>
          <w:p w14:paraId="71C57232" w14:textId="77777777" w:rsidR="00036C6A" w:rsidRDefault="00036C6A" w:rsidP="002A7C86">
            <w:pPr>
              <w:ind w:left="175"/>
              <w:contextualSpacing/>
              <w:jc w:val="both"/>
              <w:rPr>
                <w:rFonts w:eastAsia="Calibri"/>
              </w:rPr>
            </w:pPr>
          </w:p>
        </w:tc>
        <w:tc>
          <w:tcPr>
            <w:tcW w:w="2126" w:type="dxa"/>
            <w:tcBorders>
              <w:right w:val="single" w:sz="12" w:space="0" w:color="auto"/>
            </w:tcBorders>
            <w:vAlign w:val="center"/>
          </w:tcPr>
          <w:p w14:paraId="3EBAEA8A" w14:textId="77777777" w:rsidR="00036C6A" w:rsidRDefault="00036C6A" w:rsidP="002A7C86">
            <w:pPr>
              <w:contextualSpacing/>
              <w:jc w:val="center"/>
              <w:rPr>
                <w:rFonts w:eastAsia="Calibri"/>
              </w:rPr>
            </w:pPr>
            <w:r>
              <w:rPr>
                <w:rFonts w:eastAsia="Calibri"/>
              </w:rPr>
              <w:t xml:space="preserve">215 </w:t>
            </w:r>
            <w:r w:rsidRPr="00627058">
              <w:rPr>
                <w:rFonts w:eastAsia="Calibri"/>
              </w:rPr>
              <w:t>m</w:t>
            </w:r>
            <w:r w:rsidRPr="00627058">
              <w:rPr>
                <w:rFonts w:eastAsia="Calibri"/>
                <w:vertAlign w:val="superscript"/>
              </w:rPr>
              <w:t>3</w:t>
            </w:r>
          </w:p>
        </w:tc>
      </w:tr>
    </w:tbl>
    <w:p w14:paraId="463E6382" w14:textId="77777777" w:rsidR="00036C6A" w:rsidRPr="00950D3F" w:rsidRDefault="00036C6A" w:rsidP="00036C6A">
      <w:pPr>
        <w:rPr>
          <w:sz w:val="24"/>
          <w:szCs w:val="24"/>
        </w:rPr>
      </w:pPr>
    </w:p>
    <w:p w14:paraId="454AD6CC" w14:textId="2BBABCBD" w:rsidR="0058639B" w:rsidRDefault="006B28AB" w:rsidP="00A6778C">
      <w:pPr>
        <w:jc w:val="both"/>
        <w:rPr>
          <w:sz w:val="24"/>
          <w:szCs w:val="24"/>
        </w:rPr>
      </w:pPr>
      <w:r>
        <w:rPr>
          <w:sz w:val="24"/>
          <w:szCs w:val="24"/>
        </w:rPr>
        <w:t>(2) Sredstva za vršenje sanacije osiguravaju se u proračunu Grada Delnica iz Programa sanacija divljih odlagališta u planiranom iznosu od</w:t>
      </w:r>
      <w:r w:rsidR="00F1585F">
        <w:rPr>
          <w:sz w:val="24"/>
          <w:szCs w:val="24"/>
        </w:rPr>
        <w:t xml:space="preserve"> 5,000</w:t>
      </w:r>
      <w:r w:rsidR="004B656F">
        <w:rPr>
          <w:sz w:val="24"/>
          <w:szCs w:val="24"/>
        </w:rPr>
        <w:t>,00 €</w:t>
      </w:r>
      <w:r>
        <w:rPr>
          <w:sz w:val="24"/>
          <w:szCs w:val="24"/>
        </w:rPr>
        <w:t xml:space="preserve">. U sanaciju </w:t>
      </w:r>
      <w:r w:rsidR="0058639B" w:rsidRPr="00627058">
        <w:rPr>
          <w:sz w:val="24"/>
          <w:szCs w:val="24"/>
        </w:rPr>
        <w:t>otpadom onečišćenog tla uključit će se i sve udruge Grada Delnica tijekom proljetnih akcija čišćenja kao i stanovnici romskih naselja koji su na evidentiranim lokacijama i izvršili onečišćenja tla.</w:t>
      </w:r>
    </w:p>
    <w:p w14:paraId="631F35B6" w14:textId="77777777" w:rsidR="00A6778C" w:rsidRPr="00A6778C" w:rsidRDefault="00A6778C" w:rsidP="00A6778C">
      <w:pPr>
        <w:jc w:val="both"/>
        <w:rPr>
          <w:sz w:val="24"/>
          <w:szCs w:val="24"/>
        </w:rPr>
      </w:pPr>
    </w:p>
    <w:p w14:paraId="3F5C6CA5" w14:textId="77777777" w:rsidR="0058639B" w:rsidRDefault="0058639B" w:rsidP="004B656F">
      <w:pPr>
        <w:jc w:val="center"/>
        <w:rPr>
          <w:b/>
          <w:sz w:val="24"/>
          <w:szCs w:val="24"/>
        </w:rPr>
      </w:pPr>
      <w:r w:rsidRPr="00627058">
        <w:rPr>
          <w:b/>
          <w:sz w:val="24"/>
          <w:szCs w:val="24"/>
        </w:rPr>
        <w:lastRenderedPageBreak/>
        <w:t xml:space="preserve">Članak </w:t>
      </w:r>
      <w:r w:rsidR="000620A7">
        <w:rPr>
          <w:b/>
          <w:sz w:val="24"/>
          <w:szCs w:val="24"/>
        </w:rPr>
        <w:t>6</w:t>
      </w:r>
      <w:r w:rsidRPr="00627058">
        <w:rPr>
          <w:b/>
          <w:sz w:val="24"/>
          <w:szCs w:val="24"/>
        </w:rPr>
        <w:t>.</w:t>
      </w:r>
    </w:p>
    <w:p w14:paraId="57C0D480" w14:textId="77777777" w:rsidR="000620A7" w:rsidRDefault="0058639B" w:rsidP="00A6778C">
      <w:pPr>
        <w:jc w:val="both"/>
        <w:rPr>
          <w:sz w:val="24"/>
          <w:szCs w:val="24"/>
        </w:rPr>
      </w:pPr>
      <w:r w:rsidRPr="00627058">
        <w:rPr>
          <w:sz w:val="24"/>
          <w:szCs w:val="24"/>
        </w:rPr>
        <w:t>U svrhu sp</w:t>
      </w:r>
      <w:r w:rsidR="000620A7">
        <w:rPr>
          <w:sz w:val="24"/>
          <w:szCs w:val="24"/>
        </w:rPr>
        <w:t xml:space="preserve">rječavanja daljnjeg odbacivanja, </w:t>
      </w:r>
      <w:r w:rsidR="000620A7" w:rsidRPr="000620A7">
        <w:rPr>
          <w:sz w:val="24"/>
          <w:szCs w:val="24"/>
        </w:rPr>
        <w:t xml:space="preserve">nepropisnog skladištenja, ostavljanja i/ili odlaganja </w:t>
      </w:r>
      <w:r w:rsidRPr="00627058">
        <w:rPr>
          <w:sz w:val="24"/>
          <w:szCs w:val="24"/>
        </w:rPr>
        <w:t>otpada na sanirane površine vršit će se:</w:t>
      </w:r>
    </w:p>
    <w:p w14:paraId="1BA5152F" w14:textId="77777777" w:rsidR="000620A7" w:rsidRDefault="0058639B" w:rsidP="00755775">
      <w:pPr>
        <w:pStyle w:val="Odlomakpopisa"/>
        <w:numPr>
          <w:ilvl w:val="0"/>
          <w:numId w:val="5"/>
        </w:numPr>
        <w:ind w:left="567" w:hanging="207"/>
        <w:jc w:val="both"/>
        <w:rPr>
          <w:sz w:val="24"/>
          <w:szCs w:val="24"/>
        </w:rPr>
      </w:pPr>
      <w:r w:rsidRPr="000620A7">
        <w:rPr>
          <w:sz w:val="24"/>
          <w:szCs w:val="24"/>
        </w:rPr>
        <w:t xml:space="preserve">učestala kontrola lokacija </w:t>
      </w:r>
      <w:r w:rsidR="00D111C6" w:rsidRPr="000620A7">
        <w:rPr>
          <w:sz w:val="24"/>
          <w:szCs w:val="24"/>
        </w:rPr>
        <w:t>od strane</w:t>
      </w:r>
      <w:r w:rsidRPr="000620A7">
        <w:rPr>
          <w:sz w:val="24"/>
          <w:szCs w:val="24"/>
        </w:rPr>
        <w:t xml:space="preserve"> komunalnog redara,</w:t>
      </w:r>
    </w:p>
    <w:p w14:paraId="272A6805" w14:textId="77777777" w:rsidR="000620A7" w:rsidRDefault="0058639B" w:rsidP="00755775">
      <w:pPr>
        <w:pStyle w:val="Odlomakpopisa"/>
        <w:numPr>
          <w:ilvl w:val="0"/>
          <w:numId w:val="5"/>
        </w:numPr>
        <w:ind w:left="567" w:hanging="207"/>
        <w:jc w:val="both"/>
        <w:rPr>
          <w:sz w:val="24"/>
          <w:szCs w:val="24"/>
        </w:rPr>
      </w:pPr>
      <w:r w:rsidRPr="000620A7">
        <w:rPr>
          <w:sz w:val="24"/>
          <w:szCs w:val="24"/>
        </w:rPr>
        <w:t>postava ploča o zabrani odlaganja otpada,</w:t>
      </w:r>
    </w:p>
    <w:p w14:paraId="20E54748" w14:textId="77777777" w:rsidR="000620A7" w:rsidRDefault="0058639B" w:rsidP="00755775">
      <w:pPr>
        <w:pStyle w:val="Odlomakpopisa"/>
        <w:numPr>
          <w:ilvl w:val="0"/>
          <w:numId w:val="5"/>
        </w:numPr>
        <w:ind w:left="567" w:hanging="207"/>
        <w:jc w:val="both"/>
        <w:rPr>
          <w:sz w:val="24"/>
          <w:szCs w:val="24"/>
        </w:rPr>
      </w:pPr>
      <w:r w:rsidRPr="000620A7">
        <w:rPr>
          <w:sz w:val="24"/>
          <w:szCs w:val="24"/>
        </w:rPr>
        <w:t>po potrebi ograđivanje površina fizičkim barijerama</w:t>
      </w:r>
      <w:r w:rsidR="006B28AB">
        <w:rPr>
          <w:sz w:val="24"/>
          <w:szCs w:val="24"/>
        </w:rPr>
        <w:t>,</w:t>
      </w:r>
    </w:p>
    <w:p w14:paraId="16EC693B" w14:textId="77777777" w:rsidR="000620A7" w:rsidRDefault="0050746E" w:rsidP="00755775">
      <w:pPr>
        <w:pStyle w:val="Odlomakpopisa"/>
        <w:numPr>
          <w:ilvl w:val="0"/>
          <w:numId w:val="5"/>
        </w:numPr>
        <w:ind w:left="567" w:hanging="207"/>
        <w:jc w:val="both"/>
        <w:rPr>
          <w:sz w:val="24"/>
          <w:szCs w:val="24"/>
        </w:rPr>
      </w:pPr>
      <w:r w:rsidRPr="000620A7">
        <w:rPr>
          <w:sz w:val="24"/>
          <w:szCs w:val="24"/>
        </w:rPr>
        <w:t>periodične akcije uklanjanja</w:t>
      </w:r>
      <w:r w:rsidR="00D111C6" w:rsidRPr="000620A7">
        <w:rPr>
          <w:sz w:val="24"/>
          <w:szCs w:val="24"/>
        </w:rPr>
        <w:t xml:space="preserve"> </w:t>
      </w:r>
      <w:r w:rsidRPr="000620A7">
        <w:rPr>
          <w:sz w:val="24"/>
          <w:szCs w:val="24"/>
        </w:rPr>
        <w:t>nepropisno odbačenog otpada</w:t>
      </w:r>
      <w:r w:rsidR="00D111C6" w:rsidRPr="000620A7">
        <w:rPr>
          <w:sz w:val="24"/>
          <w:szCs w:val="24"/>
        </w:rPr>
        <w:t>,</w:t>
      </w:r>
    </w:p>
    <w:p w14:paraId="068DA845" w14:textId="77777777" w:rsidR="0058639B" w:rsidRPr="000620A7" w:rsidRDefault="0058639B" w:rsidP="00755775">
      <w:pPr>
        <w:pStyle w:val="Odlomakpopisa"/>
        <w:numPr>
          <w:ilvl w:val="0"/>
          <w:numId w:val="5"/>
        </w:numPr>
        <w:ind w:left="567" w:hanging="207"/>
        <w:jc w:val="both"/>
        <w:rPr>
          <w:sz w:val="24"/>
          <w:szCs w:val="24"/>
        </w:rPr>
      </w:pPr>
      <w:r w:rsidRPr="000620A7">
        <w:rPr>
          <w:sz w:val="24"/>
          <w:szCs w:val="24"/>
        </w:rPr>
        <w:t>informiranje javnosti putem medija.</w:t>
      </w:r>
    </w:p>
    <w:p w14:paraId="037D1C83" w14:textId="77777777" w:rsidR="0058639B" w:rsidRPr="00627058" w:rsidRDefault="0058639B" w:rsidP="00A6778C">
      <w:pPr>
        <w:spacing w:line="260" w:lineRule="exact"/>
        <w:jc w:val="both"/>
        <w:rPr>
          <w:sz w:val="26"/>
          <w:szCs w:val="26"/>
        </w:rPr>
      </w:pPr>
    </w:p>
    <w:p w14:paraId="71BB7EF7" w14:textId="77777777" w:rsidR="0058639B" w:rsidRDefault="0058639B" w:rsidP="004B656F">
      <w:pPr>
        <w:jc w:val="center"/>
        <w:rPr>
          <w:b/>
          <w:sz w:val="24"/>
          <w:szCs w:val="24"/>
        </w:rPr>
      </w:pPr>
      <w:r w:rsidRPr="00627058">
        <w:rPr>
          <w:b/>
          <w:sz w:val="24"/>
          <w:szCs w:val="24"/>
        </w:rPr>
        <w:t xml:space="preserve">Članak </w:t>
      </w:r>
      <w:r w:rsidR="000620A7">
        <w:rPr>
          <w:b/>
          <w:sz w:val="24"/>
          <w:szCs w:val="24"/>
        </w:rPr>
        <w:t>7</w:t>
      </w:r>
      <w:r w:rsidRPr="00627058">
        <w:rPr>
          <w:b/>
          <w:sz w:val="24"/>
          <w:szCs w:val="24"/>
        </w:rPr>
        <w:t>.</w:t>
      </w:r>
    </w:p>
    <w:p w14:paraId="4102BE78" w14:textId="77777777" w:rsidR="0058639B" w:rsidRPr="00627058" w:rsidRDefault="00A6778C" w:rsidP="00A6778C">
      <w:pPr>
        <w:jc w:val="both"/>
        <w:rPr>
          <w:sz w:val="24"/>
          <w:szCs w:val="24"/>
        </w:rPr>
      </w:pPr>
      <w:r>
        <w:rPr>
          <w:sz w:val="24"/>
          <w:szCs w:val="24"/>
        </w:rPr>
        <w:t>Ova Odluka stupa na snagu osmog dana od dana objave</w:t>
      </w:r>
      <w:r w:rsidR="0058639B" w:rsidRPr="00627058">
        <w:rPr>
          <w:sz w:val="24"/>
          <w:szCs w:val="24"/>
        </w:rPr>
        <w:t xml:space="preserve"> u</w:t>
      </w:r>
      <w:r>
        <w:rPr>
          <w:sz w:val="24"/>
          <w:szCs w:val="24"/>
        </w:rPr>
        <w:t xml:space="preserve"> „Službenim </w:t>
      </w:r>
      <w:r w:rsidR="0058639B" w:rsidRPr="00627058">
        <w:rPr>
          <w:sz w:val="24"/>
          <w:szCs w:val="24"/>
        </w:rPr>
        <w:t>no</w:t>
      </w:r>
      <w:r>
        <w:rPr>
          <w:sz w:val="24"/>
          <w:szCs w:val="24"/>
        </w:rPr>
        <w:t>vinama</w:t>
      </w:r>
      <w:r w:rsidR="0058639B" w:rsidRPr="00627058">
        <w:rPr>
          <w:sz w:val="24"/>
          <w:szCs w:val="24"/>
        </w:rPr>
        <w:t xml:space="preserve"> Grada Delnica“, a objavit će se i na mrežnoj stranici Grada Delnica te dostaviti </w:t>
      </w:r>
      <w:r w:rsidR="005E0327">
        <w:rPr>
          <w:sz w:val="24"/>
          <w:szCs w:val="24"/>
        </w:rPr>
        <w:t xml:space="preserve">nadležnom </w:t>
      </w:r>
      <w:r w:rsidR="0058639B" w:rsidRPr="00627058">
        <w:rPr>
          <w:sz w:val="24"/>
          <w:szCs w:val="24"/>
        </w:rPr>
        <w:t>Ministarstvu.</w:t>
      </w:r>
    </w:p>
    <w:p w14:paraId="2151DB6F" w14:textId="77777777" w:rsidR="00324DF4" w:rsidRDefault="00324DF4" w:rsidP="00A6778C">
      <w:pPr>
        <w:spacing w:before="16" w:line="260" w:lineRule="exact"/>
        <w:jc w:val="both"/>
        <w:rPr>
          <w:sz w:val="26"/>
          <w:szCs w:val="26"/>
        </w:rPr>
      </w:pPr>
    </w:p>
    <w:p w14:paraId="5C5C02FF" w14:textId="7430F8EB" w:rsidR="0058639B" w:rsidRPr="00627058" w:rsidRDefault="0058639B" w:rsidP="00A6778C">
      <w:pPr>
        <w:jc w:val="both"/>
        <w:rPr>
          <w:sz w:val="24"/>
          <w:szCs w:val="24"/>
        </w:rPr>
      </w:pPr>
      <w:r w:rsidRPr="00627058">
        <w:rPr>
          <w:sz w:val="24"/>
          <w:szCs w:val="24"/>
        </w:rPr>
        <w:t>KLASA: 351-</w:t>
      </w:r>
      <w:r w:rsidR="00603348" w:rsidRPr="00627058">
        <w:rPr>
          <w:sz w:val="24"/>
          <w:szCs w:val="24"/>
        </w:rPr>
        <w:t>0</w:t>
      </w:r>
      <w:r w:rsidR="00A27BBE" w:rsidRPr="00627058">
        <w:rPr>
          <w:sz w:val="24"/>
          <w:szCs w:val="24"/>
        </w:rPr>
        <w:t>7/2</w:t>
      </w:r>
      <w:r w:rsidR="00B967C9">
        <w:rPr>
          <w:sz w:val="24"/>
          <w:szCs w:val="24"/>
        </w:rPr>
        <w:t>5</w:t>
      </w:r>
      <w:r w:rsidRPr="00627058">
        <w:rPr>
          <w:sz w:val="24"/>
          <w:szCs w:val="24"/>
        </w:rPr>
        <w:t>-01/0</w:t>
      </w:r>
      <w:r w:rsidR="00B967C9">
        <w:rPr>
          <w:sz w:val="24"/>
          <w:szCs w:val="24"/>
        </w:rPr>
        <w:t>3</w:t>
      </w:r>
    </w:p>
    <w:p w14:paraId="50EBCA07" w14:textId="687D5F12" w:rsidR="0058639B" w:rsidRPr="00627058" w:rsidRDefault="0058639B" w:rsidP="00A6778C">
      <w:pPr>
        <w:jc w:val="both"/>
        <w:rPr>
          <w:sz w:val="24"/>
          <w:szCs w:val="24"/>
        </w:rPr>
      </w:pPr>
      <w:r w:rsidRPr="00627058">
        <w:rPr>
          <w:sz w:val="24"/>
          <w:szCs w:val="24"/>
        </w:rPr>
        <w:t xml:space="preserve">UR.BROJ: </w:t>
      </w:r>
      <w:r w:rsidR="00F233FA" w:rsidRPr="00627058">
        <w:rPr>
          <w:sz w:val="24"/>
          <w:szCs w:val="24"/>
        </w:rPr>
        <w:t>2170-6-4</w:t>
      </w:r>
      <w:r w:rsidR="00B967C9">
        <w:rPr>
          <w:sz w:val="24"/>
          <w:szCs w:val="24"/>
        </w:rPr>
        <w:t>-10-25-</w:t>
      </w:r>
      <w:r w:rsidR="00895F94">
        <w:rPr>
          <w:sz w:val="24"/>
          <w:szCs w:val="24"/>
        </w:rPr>
        <w:t>1</w:t>
      </w:r>
    </w:p>
    <w:p w14:paraId="00B23CC6" w14:textId="0731F649" w:rsidR="0058639B" w:rsidRPr="00627058" w:rsidRDefault="006E174B" w:rsidP="00A6778C">
      <w:pPr>
        <w:jc w:val="both"/>
        <w:rPr>
          <w:sz w:val="24"/>
          <w:szCs w:val="24"/>
        </w:rPr>
      </w:pPr>
      <w:r w:rsidRPr="00627058">
        <w:rPr>
          <w:sz w:val="24"/>
          <w:szCs w:val="24"/>
        </w:rPr>
        <w:t>Delnice</w:t>
      </w:r>
      <w:r w:rsidR="00800567">
        <w:rPr>
          <w:sz w:val="24"/>
          <w:szCs w:val="24"/>
        </w:rPr>
        <w:t xml:space="preserve">, 15. prosinca </w:t>
      </w:r>
      <w:r w:rsidR="00A27BBE" w:rsidRPr="00627058">
        <w:rPr>
          <w:sz w:val="24"/>
          <w:szCs w:val="24"/>
        </w:rPr>
        <w:t>202</w:t>
      </w:r>
      <w:r w:rsidR="00F1585F">
        <w:rPr>
          <w:sz w:val="24"/>
          <w:szCs w:val="24"/>
        </w:rPr>
        <w:t>5</w:t>
      </w:r>
      <w:r w:rsidR="0058639B" w:rsidRPr="00627058">
        <w:rPr>
          <w:sz w:val="24"/>
          <w:szCs w:val="24"/>
        </w:rPr>
        <w:t xml:space="preserve">. </w:t>
      </w:r>
      <w:r w:rsidR="00603348" w:rsidRPr="00627058">
        <w:rPr>
          <w:sz w:val="24"/>
          <w:szCs w:val="24"/>
        </w:rPr>
        <w:t>g</w:t>
      </w:r>
      <w:r w:rsidR="0058639B" w:rsidRPr="00627058">
        <w:rPr>
          <w:sz w:val="24"/>
          <w:szCs w:val="24"/>
        </w:rPr>
        <w:t>odine</w:t>
      </w:r>
    </w:p>
    <w:p w14:paraId="50D21D51" w14:textId="77777777" w:rsidR="00A27BBE" w:rsidRDefault="00A27BBE" w:rsidP="00A6778C">
      <w:pPr>
        <w:jc w:val="both"/>
        <w:rPr>
          <w:sz w:val="24"/>
          <w:szCs w:val="24"/>
        </w:rPr>
      </w:pPr>
    </w:p>
    <w:p w14:paraId="27BB9EC5" w14:textId="77777777" w:rsidR="00A27BBE" w:rsidRPr="00036C6A" w:rsidRDefault="0058639B" w:rsidP="00A6778C">
      <w:pPr>
        <w:jc w:val="center"/>
        <w:rPr>
          <w:bCs/>
          <w:sz w:val="24"/>
          <w:szCs w:val="24"/>
        </w:rPr>
      </w:pPr>
      <w:r w:rsidRPr="00036C6A">
        <w:rPr>
          <w:bCs/>
          <w:sz w:val="24"/>
          <w:szCs w:val="24"/>
        </w:rPr>
        <w:t>GRADSKO VIJEĆE GRADA DELNICA</w:t>
      </w:r>
    </w:p>
    <w:p w14:paraId="63C6B18C" w14:textId="3721B6DD" w:rsidR="0058639B" w:rsidRPr="00036C6A" w:rsidRDefault="00A27BBE" w:rsidP="00A6778C">
      <w:pPr>
        <w:jc w:val="center"/>
        <w:rPr>
          <w:bCs/>
          <w:sz w:val="24"/>
          <w:szCs w:val="24"/>
        </w:rPr>
      </w:pPr>
      <w:r w:rsidRPr="00036C6A">
        <w:rPr>
          <w:bCs/>
          <w:sz w:val="24"/>
          <w:szCs w:val="24"/>
        </w:rPr>
        <w:t>Predsjedni</w:t>
      </w:r>
      <w:r w:rsidR="003B74C0" w:rsidRPr="00036C6A">
        <w:rPr>
          <w:bCs/>
          <w:sz w:val="24"/>
          <w:szCs w:val="24"/>
        </w:rPr>
        <w:t>k</w:t>
      </w:r>
    </w:p>
    <w:p w14:paraId="58963AB9" w14:textId="2D58DA38" w:rsidR="00627058" w:rsidRDefault="00A27BBE" w:rsidP="006B28AB">
      <w:pPr>
        <w:jc w:val="center"/>
        <w:rPr>
          <w:bCs/>
          <w:sz w:val="24"/>
          <w:szCs w:val="24"/>
        </w:rPr>
      </w:pPr>
      <w:r w:rsidRPr="00036C6A">
        <w:rPr>
          <w:bCs/>
          <w:sz w:val="24"/>
          <w:szCs w:val="24"/>
        </w:rPr>
        <w:t>I</w:t>
      </w:r>
      <w:r w:rsidR="00F1585F" w:rsidRPr="00036C6A">
        <w:rPr>
          <w:bCs/>
          <w:sz w:val="24"/>
          <w:szCs w:val="24"/>
        </w:rPr>
        <w:t>van Piškor</w:t>
      </w:r>
      <w:r w:rsidR="00036C6A">
        <w:rPr>
          <w:bCs/>
          <w:sz w:val="24"/>
          <w:szCs w:val="24"/>
        </w:rPr>
        <w:t>, v.r.</w:t>
      </w:r>
    </w:p>
    <w:p w14:paraId="6F5ED327" w14:textId="77777777" w:rsidR="00036C6A" w:rsidRPr="00036C6A" w:rsidRDefault="00036C6A" w:rsidP="006B28AB">
      <w:pPr>
        <w:jc w:val="center"/>
        <w:rPr>
          <w:bCs/>
          <w:sz w:val="24"/>
          <w:szCs w:val="24"/>
        </w:rPr>
      </w:pPr>
    </w:p>
    <w:sectPr w:rsidR="00036C6A" w:rsidRPr="00036C6A" w:rsidSect="00324DF4">
      <w:pgSz w:w="11920" w:h="16840"/>
      <w:pgMar w:top="1418" w:right="1418" w:bottom="1418" w:left="1418"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84BC" w14:textId="77777777" w:rsidR="00E5685C" w:rsidRDefault="00E5685C" w:rsidP="00CE63A4">
      <w:r>
        <w:separator/>
      </w:r>
    </w:p>
  </w:endnote>
  <w:endnote w:type="continuationSeparator" w:id="0">
    <w:p w14:paraId="721E2382" w14:textId="77777777" w:rsidR="00E5685C" w:rsidRDefault="00E5685C" w:rsidP="00CE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59508" w14:textId="77777777" w:rsidR="00E5685C" w:rsidRDefault="00E5685C" w:rsidP="00CE63A4">
      <w:r>
        <w:separator/>
      </w:r>
    </w:p>
  </w:footnote>
  <w:footnote w:type="continuationSeparator" w:id="0">
    <w:p w14:paraId="686D9FB6" w14:textId="77777777" w:rsidR="00E5685C" w:rsidRDefault="00E5685C" w:rsidP="00CE6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1100"/>
    <w:multiLevelType w:val="hybridMultilevel"/>
    <w:tmpl w:val="CBC83C4C"/>
    <w:lvl w:ilvl="0" w:tplc="09DA4E68">
      <w:start w:val="1"/>
      <w:numFmt w:val="bullet"/>
      <w:lvlText w:val="-"/>
      <w:lvlJc w:val="left"/>
      <w:pPr>
        <w:ind w:left="820" w:hanging="360"/>
      </w:pPr>
      <w:rPr>
        <w:rFonts w:ascii="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130268B9"/>
    <w:multiLevelType w:val="hybridMultilevel"/>
    <w:tmpl w:val="9684CD8C"/>
    <w:lvl w:ilvl="0" w:tplc="09DA4E68">
      <w:start w:val="1"/>
      <w:numFmt w:val="bullet"/>
      <w:lvlText w:val="-"/>
      <w:lvlJc w:val="left"/>
      <w:pPr>
        <w:ind w:left="820" w:hanging="360"/>
      </w:pPr>
      <w:rPr>
        <w:rFonts w:ascii="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B1E08AF"/>
    <w:multiLevelType w:val="hybridMultilevel"/>
    <w:tmpl w:val="A5B2170C"/>
    <w:lvl w:ilvl="0" w:tplc="E2DCAA7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E0A7C4C"/>
    <w:multiLevelType w:val="hybridMultilevel"/>
    <w:tmpl w:val="702CAAAE"/>
    <w:lvl w:ilvl="0" w:tplc="E2DCAA7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54B1C7D"/>
    <w:multiLevelType w:val="hybridMultilevel"/>
    <w:tmpl w:val="AEC0A13A"/>
    <w:lvl w:ilvl="0" w:tplc="72EC69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2B90EA9"/>
    <w:multiLevelType w:val="hybridMultilevel"/>
    <w:tmpl w:val="37366A7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C95550"/>
    <w:multiLevelType w:val="hybridMultilevel"/>
    <w:tmpl w:val="54AEF5EE"/>
    <w:lvl w:ilvl="0" w:tplc="09DA4E6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1878EF"/>
    <w:multiLevelType w:val="hybridMultilevel"/>
    <w:tmpl w:val="1652B1A0"/>
    <w:lvl w:ilvl="0" w:tplc="E4F4E050">
      <w:start w:val="1300"/>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46990514">
    <w:abstractNumId w:val="2"/>
  </w:num>
  <w:num w:numId="2" w16cid:durableId="1665358203">
    <w:abstractNumId w:val="3"/>
  </w:num>
  <w:num w:numId="3" w16cid:durableId="1891575832">
    <w:abstractNumId w:val="5"/>
  </w:num>
  <w:num w:numId="4" w16cid:durableId="1486893760">
    <w:abstractNumId w:val="1"/>
  </w:num>
  <w:num w:numId="5" w16cid:durableId="1230654379">
    <w:abstractNumId w:val="0"/>
  </w:num>
  <w:num w:numId="6" w16cid:durableId="164901033">
    <w:abstractNumId w:val="6"/>
  </w:num>
  <w:num w:numId="7" w16cid:durableId="1937013484">
    <w:abstractNumId w:val="7"/>
  </w:num>
  <w:num w:numId="8" w16cid:durableId="2120879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9B"/>
    <w:rsid w:val="000015DC"/>
    <w:rsid w:val="00021AF4"/>
    <w:rsid w:val="000360C7"/>
    <w:rsid w:val="00036C6A"/>
    <w:rsid w:val="000447E0"/>
    <w:rsid w:val="00044BD1"/>
    <w:rsid w:val="00056F27"/>
    <w:rsid w:val="000620A7"/>
    <w:rsid w:val="000822AA"/>
    <w:rsid w:val="000B4F9D"/>
    <w:rsid w:val="000C0874"/>
    <w:rsid w:val="000F0706"/>
    <w:rsid w:val="00100512"/>
    <w:rsid w:val="00120024"/>
    <w:rsid w:val="001743F7"/>
    <w:rsid w:val="00177F29"/>
    <w:rsid w:val="001A4C98"/>
    <w:rsid w:val="001D528D"/>
    <w:rsid w:val="001E7546"/>
    <w:rsid w:val="00223F12"/>
    <w:rsid w:val="00262A0D"/>
    <w:rsid w:val="0026360C"/>
    <w:rsid w:val="002921E4"/>
    <w:rsid w:val="002B105A"/>
    <w:rsid w:val="002B27A7"/>
    <w:rsid w:val="002C5CCF"/>
    <w:rsid w:val="00324DF4"/>
    <w:rsid w:val="0033390C"/>
    <w:rsid w:val="003407CD"/>
    <w:rsid w:val="00340E70"/>
    <w:rsid w:val="00346CF3"/>
    <w:rsid w:val="00360046"/>
    <w:rsid w:val="00360AD0"/>
    <w:rsid w:val="00397D41"/>
    <w:rsid w:val="003A5CCD"/>
    <w:rsid w:val="003B242D"/>
    <w:rsid w:val="003B74C0"/>
    <w:rsid w:val="003F06FD"/>
    <w:rsid w:val="003F5F29"/>
    <w:rsid w:val="00435422"/>
    <w:rsid w:val="00450E89"/>
    <w:rsid w:val="004671CB"/>
    <w:rsid w:val="004736EA"/>
    <w:rsid w:val="004759D9"/>
    <w:rsid w:val="004B656F"/>
    <w:rsid w:val="004C1E39"/>
    <w:rsid w:val="004D3218"/>
    <w:rsid w:val="0050746E"/>
    <w:rsid w:val="00512001"/>
    <w:rsid w:val="0053750E"/>
    <w:rsid w:val="0056286E"/>
    <w:rsid w:val="0058639B"/>
    <w:rsid w:val="005A013C"/>
    <w:rsid w:val="005E0327"/>
    <w:rsid w:val="005E6C96"/>
    <w:rsid w:val="00603348"/>
    <w:rsid w:val="00603D74"/>
    <w:rsid w:val="006126B5"/>
    <w:rsid w:val="00616339"/>
    <w:rsid w:val="0062421D"/>
    <w:rsid w:val="00626B24"/>
    <w:rsid w:val="00627058"/>
    <w:rsid w:val="00660620"/>
    <w:rsid w:val="00672C37"/>
    <w:rsid w:val="00675718"/>
    <w:rsid w:val="00694A41"/>
    <w:rsid w:val="006A18A8"/>
    <w:rsid w:val="006B28AB"/>
    <w:rsid w:val="006C5E49"/>
    <w:rsid w:val="006E174B"/>
    <w:rsid w:val="006E1CBD"/>
    <w:rsid w:val="006F20A2"/>
    <w:rsid w:val="007209F4"/>
    <w:rsid w:val="00720EC9"/>
    <w:rsid w:val="00727EAB"/>
    <w:rsid w:val="00732AFE"/>
    <w:rsid w:val="00736CBC"/>
    <w:rsid w:val="00745EF4"/>
    <w:rsid w:val="00747ACB"/>
    <w:rsid w:val="00753BE4"/>
    <w:rsid w:val="00755775"/>
    <w:rsid w:val="0079409D"/>
    <w:rsid w:val="007945EF"/>
    <w:rsid w:val="00795E3C"/>
    <w:rsid w:val="007C0963"/>
    <w:rsid w:val="007C0C4F"/>
    <w:rsid w:val="007E4642"/>
    <w:rsid w:val="00800567"/>
    <w:rsid w:val="008023DE"/>
    <w:rsid w:val="00824127"/>
    <w:rsid w:val="00857A6C"/>
    <w:rsid w:val="00895F94"/>
    <w:rsid w:val="008A075C"/>
    <w:rsid w:val="008A1261"/>
    <w:rsid w:val="008E454B"/>
    <w:rsid w:val="00934EAC"/>
    <w:rsid w:val="009421AB"/>
    <w:rsid w:val="00950D3F"/>
    <w:rsid w:val="009748A0"/>
    <w:rsid w:val="009B06D4"/>
    <w:rsid w:val="009B4CBF"/>
    <w:rsid w:val="009C3B33"/>
    <w:rsid w:val="009F0B8C"/>
    <w:rsid w:val="009F1BF5"/>
    <w:rsid w:val="009F5B4A"/>
    <w:rsid w:val="00A066D4"/>
    <w:rsid w:val="00A1007F"/>
    <w:rsid w:val="00A27BBE"/>
    <w:rsid w:val="00A37B3D"/>
    <w:rsid w:val="00A54667"/>
    <w:rsid w:val="00A6778C"/>
    <w:rsid w:val="00A703BC"/>
    <w:rsid w:val="00A85942"/>
    <w:rsid w:val="00AF61EE"/>
    <w:rsid w:val="00B259C3"/>
    <w:rsid w:val="00B355F3"/>
    <w:rsid w:val="00B44F74"/>
    <w:rsid w:val="00B80372"/>
    <w:rsid w:val="00B967C9"/>
    <w:rsid w:val="00BB0E84"/>
    <w:rsid w:val="00BB544F"/>
    <w:rsid w:val="00BB6028"/>
    <w:rsid w:val="00BC618F"/>
    <w:rsid w:val="00BE3E18"/>
    <w:rsid w:val="00C26A2F"/>
    <w:rsid w:val="00C441F7"/>
    <w:rsid w:val="00C53DBF"/>
    <w:rsid w:val="00C709EA"/>
    <w:rsid w:val="00C72A6C"/>
    <w:rsid w:val="00C745C6"/>
    <w:rsid w:val="00C92857"/>
    <w:rsid w:val="00C93616"/>
    <w:rsid w:val="00CA45AC"/>
    <w:rsid w:val="00CC4095"/>
    <w:rsid w:val="00CD27D9"/>
    <w:rsid w:val="00CE63A4"/>
    <w:rsid w:val="00D00E73"/>
    <w:rsid w:val="00D111C6"/>
    <w:rsid w:val="00D304D4"/>
    <w:rsid w:val="00D4426C"/>
    <w:rsid w:val="00D57D65"/>
    <w:rsid w:val="00D67ECB"/>
    <w:rsid w:val="00D80494"/>
    <w:rsid w:val="00D96B20"/>
    <w:rsid w:val="00DA3629"/>
    <w:rsid w:val="00DC03D4"/>
    <w:rsid w:val="00DC2385"/>
    <w:rsid w:val="00DD25BD"/>
    <w:rsid w:val="00DD4FB5"/>
    <w:rsid w:val="00DE543C"/>
    <w:rsid w:val="00DF461B"/>
    <w:rsid w:val="00E02C89"/>
    <w:rsid w:val="00E03A5E"/>
    <w:rsid w:val="00E07714"/>
    <w:rsid w:val="00E11A43"/>
    <w:rsid w:val="00E12B25"/>
    <w:rsid w:val="00E14E72"/>
    <w:rsid w:val="00E55A14"/>
    <w:rsid w:val="00E5685C"/>
    <w:rsid w:val="00E677B0"/>
    <w:rsid w:val="00E77F93"/>
    <w:rsid w:val="00E84B2E"/>
    <w:rsid w:val="00EA7E23"/>
    <w:rsid w:val="00EB4B89"/>
    <w:rsid w:val="00EE4ABD"/>
    <w:rsid w:val="00EE7A3D"/>
    <w:rsid w:val="00F00551"/>
    <w:rsid w:val="00F13D89"/>
    <w:rsid w:val="00F1585F"/>
    <w:rsid w:val="00F220BD"/>
    <w:rsid w:val="00F233FA"/>
    <w:rsid w:val="00F3312B"/>
    <w:rsid w:val="00F36967"/>
    <w:rsid w:val="00F61DD6"/>
    <w:rsid w:val="00FE65DF"/>
    <w:rsid w:val="00FF3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79423"/>
  <w15:docId w15:val="{6A008C3C-602E-4E73-8326-EB183678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39B"/>
    <w:pPr>
      <w:spacing w:after="0" w:line="240" w:lineRule="auto"/>
    </w:pPr>
    <w:rPr>
      <w:rFonts w:ascii="Times New Roman" w:eastAsia="Times New Roman" w:hAnsi="Times New Roman" w:cs="Times New Roman"/>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A27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4671C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671CB"/>
    <w:rPr>
      <w:rFonts w:ascii="Segoe UI" w:eastAsia="Times New Roman" w:hAnsi="Segoe UI" w:cs="Segoe UI"/>
      <w:sz w:val="18"/>
      <w:szCs w:val="18"/>
      <w:lang w:val="en-US"/>
    </w:rPr>
  </w:style>
  <w:style w:type="paragraph" w:styleId="Odlomakpopisa">
    <w:name w:val="List Paragraph"/>
    <w:basedOn w:val="Normal"/>
    <w:uiPriority w:val="34"/>
    <w:qFormat/>
    <w:rsid w:val="00C72A6C"/>
    <w:pPr>
      <w:ind w:left="720"/>
      <w:contextualSpacing/>
    </w:pPr>
  </w:style>
  <w:style w:type="character" w:styleId="Hiperveza">
    <w:name w:val="Hyperlink"/>
    <w:basedOn w:val="Zadanifontodlomka"/>
    <w:uiPriority w:val="99"/>
    <w:unhideWhenUsed/>
    <w:rsid w:val="006B28AB"/>
    <w:rPr>
      <w:color w:val="0563C1" w:themeColor="hyperlink"/>
      <w:u w:val="single"/>
    </w:rPr>
  </w:style>
  <w:style w:type="paragraph" w:styleId="Zaglavlje">
    <w:name w:val="header"/>
    <w:basedOn w:val="Normal"/>
    <w:link w:val="ZaglavljeChar"/>
    <w:uiPriority w:val="99"/>
    <w:semiHidden/>
    <w:unhideWhenUsed/>
    <w:rsid w:val="00CE63A4"/>
    <w:pPr>
      <w:tabs>
        <w:tab w:val="center" w:pos="4703"/>
        <w:tab w:val="right" w:pos="9406"/>
      </w:tabs>
    </w:pPr>
  </w:style>
  <w:style w:type="character" w:customStyle="1" w:styleId="ZaglavljeChar">
    <w:name w:val="Zaglavlje Char"/>
    <w:basedOn w:val="Zadanifontodlomka"/>
    <w:link w:val="Zaglavlje"/>
    <w:uiPriority w:val="99"/>
    <w:semiHidden/>
    <w:rsid w:val="00CE63A4"/>
    <w:rPr>
      <w:rFonts w:ascii="Times New Roman" w:eastAsia="Times New Roman" w:hAnsi="Times New Roman" w:cs="Times New Roman"/>
      <w:sz w:val="20"/>
      <w:szCs w:val="20"/>
    </w:rPr>
  </w:style>
  <w:style w:type="paragraph" w:styleId="Podnoje">
    <w:name w:val="footer"/>
    <w:basedOn w:val="Normal"/>
    <w:link w:val="PodnojeChar"/>
    <w:uiPriority w:val="99"/>
    <w:unhideWhenUsed/>
    <w:rsid w:val="00CE63A4"/>
    <w:pPr>
      <w:tabs>
        <w:tab w:val="center" w:pos="4703"/>
        <w:tab w:val="right" w:pos="9406"/>
      </w:tabs>
    </w:pPr>
  </w:style>
  <w:style w:type="character" w:customStyle="1" w:styleId="PodnojeChar">
    <w:name w:val="Podnožje Char"/>
    <w:basedOn w:val="Zadanifontodlomka"/>
    <w:link w:val="Podnoje"/>
    <w:uiPriority w:val="99"/>
    <w:rsid w:val="00CE63A4"/>
    <w:rPr>
      <w:rFonts w:ascii="Times New Roman" w:eastAsia="Times New Roman" w:hAnsi="Times New Roman" w:cs="Times New Roman"/>
      <w:sz w:val="20"/>
      <w:szCs w:val="20"/>
    </w:rPr>
  </w:style>
  <w:style w:type="character" w:styleId="Tekstrezerviranogmjesta">
    <w:name w:val="Placeholder Text"/>
    <w:basedOn w:val="Zadanifontodlomka"/>
    <w:uiPriority w:val="99"/>
    <w:semiHidden/>
    <w:rsid w:val="0051200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9B7F5C-4A24-4803-BE47-8B913264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850</Words>
  <Characters>4846</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Goranka-PC</dc:creator>
  <cp:lastModifiedBy>Martina Petranović</cp:lastModifiedBy>
  <cp:revision>111</cp:revision>
  <cp:lastPrinted>2025-11-13T18:05:00Z</cp:lastPrinted>
  <dcterms:created xsi:type="dcterms:W3CDTF">2025-11-12T10:55:00Z</dcterms:created>
  <dcterms:modified xsi:type="dcterms:W3CDTF">2025-12-10T12:08:00Z</dcterms:modified>
</cp:coreProperties>
</file>