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40A3" w14:textId="77777777" w:rsidR="00264161" w:rsidRDefault="00264161" w:rsidP="00264161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54BB6CE7" w14:textId="77777777" w:rsidR="00264161" w:rsidRPr="00F742DA" w:rsidRDefault="00264161" w:rsidP="00264161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5190"/>
      </w:tblGrid>
      <w:tr w:rsidR="00264161" w:rsidRPr="00380E25" w14:paraId="495B1B96" w14:textId="77777777" w:rsidTr="00264161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54DC2E5" w14:textId="77777777" w:rsidR="00264161" w:rsidRPr="00380E25" w:rsidRDefault="00264161" w:rsidP="00425C3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033A9107" w14:textId="508D6C42" w:rsidR="00264161" w:rsidRPr="00380E25" w:rsidRDefault="00264161" w:rsidP="00425C3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IZMJENA I DOPUNA ODLUKE O NAČINU PRUŽANJA JAVNE USLUGE SKUPLJANJA KOMUNALNOG OTPADA NA PODRUČJU GRADA DELNICA</w:t>
            </w:r>
          </w:p>
          <w:p w14:paraId="78DA781B" w14:textId="77777777" w:rsidR="00264161" w:rsidRPr="00380E25" w:rsidRDefault="00264161" w:rsidP="00425C3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2C4125B2" w14:textId="1C93F1EB" w:rsidR="00264161" w:rsidRPr="00380E25" w:rsidRDefault="00264161" w:rsidP="00425C3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Delnice, </w:t>
            </w:r>
            <w:r w:rsidR="00231A50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 prosinca 2025.</w:t>
            </w:r>
          </w:p>
          <w:p w14:paraId="5A4FFAF3" w14:textId="77777777" w:rsidR="00264161" w:rsidRPr="00380E25" w:rsidRDefault="00264161" w:rsidP="00425C3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264161" w:rsidRPr="00380E25" w14:paraId="01B8F8FE" w14:textId="77777777" w:rsidTr="00264161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3E2521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6234273" w14:textId="01EF69DA" w:rsidR="00264161" w:rsidRPr="00380E25" w:rsidRDefault="00264161" w:rsidP="00264161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ODLUKA O IZMJENI I DOPUNI ODLUKE O NAČINU PRUŽANJA JAVNE USLUGE SKUPLJANJA KOMUNALNOG OTPADA NA PODRUČJU GRADA DELNICA</w:t>
            </w:r>
          </w:p>
        </w:tc>
      </w:tr>
      <w:tr w:rsidR="00264161" w:rsidRPr="00380E25" w14:paraId="56317374" w14:textId="77777777" w:rsidTr="00264161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034D921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67A8AF3" w14:textId="53D6BE5F" w:rsidR="00264161" w:rsidRPr="00380E25" w:rsidRDefault="00264161" w:rsidP="00264161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GRAD DELNICE</w:t>
            </w:r>
          </w:p>
        </w:tc>
      </w:tr>
      <w:tr w:rsidR="00264161" w:rsidRPr="00380E25" w14:paraId="68FBD82B" w14:textId="77777777" w:rsidTr="00264161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2707A0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5C60D6" w14:textId="20FB0E20" w:rsidR="00264161" w:rsidRPr="00380E25" w:rsidRDefault="00264161" w:rsidP="00264161">
            <w:pPr>
              <w:spacing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Pr="002641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Implementacija Odluke ukazala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je </w:t>
            </w:r>
            <w:r w:rsidRPr="002641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na određene tehničke nedostatke, koji se prijedlogom ovih izmjena i dopuna gore navedene Odluke nastoje korigirati kako bi se olakšalo poslovanje pružatelja usluge, s jedne strane te korištenje usluga korisnicima, s druge strane. Jedna izmjena Odluke odnosi se i na samu cijenu javne usluge (članak 3.), a koja je također nužna uzmu li se u obzir odredbe Zakona o gospodarenju otpadom koje, između ostaloga, u pogledu cijene propisuju da je obvezna minimalna javna usluga iznos koji se osigurava radi ekonomski održivog poslovanja te sigurnosti, redovitosti i kvalitete pružanja javne usluge, kako bi sustav sakupljanja komunalnog otpada mogao ispuniti svoju svrhu.</w:t>
            </w:r>
          </w:p>
        </w:tc>
      </w:tr>
      <w:tr w:rsidR="00264161" w:rsidRPr="00380E25" w14:paraId="01FF0018" w14:textId="77777777" w:rsidTr="00264161">
        <w:trPr>
          <w:trHeight w:val="525"/>
        </w:trPr>
        <w:tc>
          <w:tcPr>
            <w:tcW w:w="387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A0CF27" w14:textId="77777777" w:rsidR="00264161" w:rsidRDefault="00264161" w:rsidP="00264161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437C35D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7A4EA976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36C81C8A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35FB9999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4056A8" w14:textId="487440B2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Web stranica Grada Delnica</w:t>
            </w:r>
          </w:p>
          <w:p w14:paraId="0F4916DE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64161" w:rsidRPr="00380E25" w14:paraId="4A9F142A" w14:textId="77777777" w:rsidTr="00264161">
        <w:trPr>
          <w:trHeight w:val="1499"/>
        </w:trPr>
        <w:tc>
          <w:tcPr>
            <w:tcW w:w="387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EB34A19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2F2E6F76" w14:textId="77777777" w:rsidR="00264161" w:rsidRDefault="00264161" w:rsidP="0026416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1F847B33" w14:textId="7648EBFC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Od 7. listopada 2025. do 6. studenog 2025.</w:t>
            </w:r>
          </w:p>
          <w:p w14:paraId="38770F9F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264161" w:rsidRPr="00380E25" w14:paraId="10332CF4" w14:textId="77777777" w:rsidTr="00264161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3D55B16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142DF0" w14:textId="47ADD8B2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Zaprimljene dvije  primjedbe i prijedlozi</w:t>
            </w:r>
          </w:p>
        </w:tc>
      </w:tr>
      <w:tr w:rsidR="00264161" w:rsidRPr="00380E25" w14:paraId="5EE33ECD" w14:textId="77777777" w:rsidTr="00264161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6503B2D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EFAD91C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1867BDA6" w14:textId="481E0FA4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–prilog 1.</w:t>
            </w:r>
          </w:p>
        </w:tc>
      </w:tr>
      <w:tr w:rsidR="00264161" w:rsidRPr="00380E25" w14:paraId="75441D04" w14:textId="77777777" w:rsidTr="00264161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EED32D6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C418F3" w14:textId="77777777" w:rsidR="00264161" w:rsidRDefault="00264161" w:rsidP="0026416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09FE20FC" w14:textId="51219FB0" w:rsidR="00264161" w:rsidRPr="00380E25" w:rsidRDefault="004F04DD" w:rsidP="0026416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nema</w:t>
            </w:r>
          </w:p>
        </w:tc>
      </w:tr>
      <w:tr w:rsidR="00264161" w:rsidRPr="00380E25" w14:paraId="1C4F2EAF" w14:textId="77777777" w:rsidTr="00264161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11A0881" w14:textId="77777777" w:rsidR="00264161" w:rsidRPr="00380E25" w:rsidRDefault="00264161" w:rsidP="00264161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C525FC" w14:textId="425627E2" w:rsidR="00264161" w:rsidRPr="00380E25" w:rsidRDefault="00264161" w:rsidP="00264161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4F04DD">
              <w:rPr>
                <w:rFonts w:ascii="Arial Narrow" w:hAnsi="Arial Narrow" w:cs="Times New Roman"/>
                <w:bCs/>
                <w:sz w:val="20"/>
                <w:szCs w:val="20"/>
              </w:rPr>
              <w:t>nema</w:t>
            </w:r>
          </w:p>
        </w:tc>
      </w:tr>
    </w:tbl>
    <w:p w14:paraId="24BEA60D" w14:textId="77777777" w:rsidR="00264161" w:rsidRDefault="00264161" w:rsidP="00264161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74F649F1" w14:textId="77777777" w:rsidR="004F04DD" w:rsidRDefault="004F04DD" w:rsidP="00264161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14:paraId="6329BF2C" w14:textId="77777777" w:rsidR="004F04DD" w:rsidRDefault="004F04DD" w:rsidP="00264161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14:paraId="4B787A30" w14:textId="77777777" w:rsidR="004F04DD" w:rsidRDefault="004F04DD" w:rsidP="00264161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14:paraId="241E64CE" w14:textId="77777777" w:rsidR="004F04DD" w:rsidRDefault="004F04DD" w:rsidP="00264161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14:paraId="40F4F639" w14:textId="77777777" w:rsidR="00264161" w:rsidRPr="00E738EC" w:rsidRDefault="00264161" w:rsidP="00264161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843"/>
        <w:gridCol w:w="1418"/>
        <w:gridCol w:w="2885"/>
        <w:gridCol w:w="2632"/>
      </w:tblGrid>
      <w:tr w:rsidR="00264161" w:rsidRPr="00E738EC" w14:paraId="0992417C" w14:textId="77777777" w:rsidTr="004F04DD">
        <w:tc>
          <w:tcPr>
            <w:tcW w:w="544" w:type="dxa"/>
            <w:vAlign w:val="center"/>
          </w:tcPr>
          <w:p w14:paraId="1096B6B6" w14:textId="77777777" w:rsidR="00264161" w:rsidRPr="00E738EC" w:rsidRDefault="00264161" w:rsidP="00425C3F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43" w:type="dxa"/>
            <w:vAlign w:val="center"/>
          </w:tcPr>
          <w:p w14:paraId="00EC1AF8" w14:textId="77777777" w:rsidR="00264161" w:rsidRPr="00E738EC" w:rsidRDefault="00264161" w:rsidP="00425C3F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418" w:type="dxa"/>
            <w:vAlign w:val="center"/>
          </w:tcPr>
          <w:p w14:paraId="7CD34E11" w14:textId="77777777" w:rsidR="00264161" w:rsidRPr="00E738EC" w:rsidRDefault="00264161" w:rsidP="00425C3F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885" w:type="dxa"/>
            <w:vAlign w:val="center"/>
          </w:tcPr>
          <w:p w14:paraId="5166E84C" w14:textId="77777777" w:rsidR="00264161" w:rsidRPr="00E738EC" w:rsidRDefault="00264161" w:rsidP="00425C3F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73EA963B" w14:textId="77777777" w:rsidR="00264161" w:rsidRPr="00E738EC" w:rsidRDefault="00264161" w:rsidP="00425C3F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264161" w:rsidRPr="00F475E7" w14:paraId="1E5F716E" w14:textId="77777777" w:rsidTr="004F04DD">
        <w:trPr>
          <w:trHeight w:val="567"/>
        </w:trPr>
        <w:tc>
          <w:tcPr>
            <w:tcW w:w="544" w:type="dxa"/>
          </w:tcPr>
          <w:p w14:paraId="4AE6E2D3" w14:textId="5398123E" w:rsidR="00264161" w:rsidRPr="004F04DD" w:rsidRDefault="004F04DD" w:rsidP="004F04DD">
            <w:pPr>
              <w:spacing w:after="120" w:line="240" w:lineRule="auto"/>
              <w:ind w:left="36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16989C03" w14:textId="47C22C3E" w:rsidR="00264161" w:rsidRPr="00E738EC" w:rsidRDefault="004F04DD" w:rsidP="00425C3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IVICA KNEŽEVIĆ</w:t>
            </w:r>
          </w:p>
        </w:tc>
        <w:tc>
          <w:tcPr>
            <w:tcW w:w="1418" w:type="dxa"/>
          </w:tcPr>
          <w:p w14:paraId="77A5CD05" w14:textId="2DA84C0E" w:rsidR="00264161" w:rsidRPr="00E738EC" w:rsidRDefault="00264161" w:rsidP="00425C3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14:paraId="12D3869A" w14:textId="4CCAA883" w:rsidR="004F04DD" w:rsidRPr="00037FD5" w:rsidRDefault="004F04DD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 obrazloženju predlo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ene Odluke predlagatelj navodi pod</w:t>
            </w:r>
          </w:p>
          <w:p w14:paraId="57DF7E1D" w14:textId="77777777" w:rsidR="004F04DD" w:rsidRPr="00037FD5" w:rsidRDefault="004F04DD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,,Ocjenom stanja, osnovna pitanja koja se trebaju urediti</w:t>
            </w:r>
          </w:p>
          <w:p w14:paraId="33F5F2E8" w14:textId="1463D84A" w:rsidR="004F04DD" w:rsidRPr="00037FD5" w:rsidRDefault="004F04DD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Odlukom i svrha koja se 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eli posti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i" da je: "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Implementacija</w:t>
            </w:r>
          </w:p>
          <w:p w14:paraId="77E1E83C" w14:textId="6CAA3028" w:rsidR="004F04DD" w:rsidRPr="00037FD5" w:rsidRDefault="004F04DD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va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 odluke, koja je donesena 21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.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prosinca 2021., a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stupila je na snagu 29. prosinca 2021. 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g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., ukazala na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odre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đ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ene tehni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ke nedostatke koji se prijedlogom ovih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izmjena i dopuna gore navedene Odluke nastoje korigirati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kako bi se olak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alo poslovanje pru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atelja usluge, s jedne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strane te kori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tenje usluga korisnicima, s druge strane."</w:t>
            </w:r>
          </w:p>
          <w:p w14:paraId="40E3D6DD" w14:textId="4B3D9FD7" w:rsidR="004F04DD" w:rsidRPr="00037FD5" w:rsidRDefault="004F04DD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Nema dvojbe da odre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đ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eni odnosi i rje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enja nisu mo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da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definirani na najbolji na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in, no konkretni razlozi na koje se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predlaga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u uvodu obrazlo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enja poziva ni na koji na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in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nisu vidljivi pa dovode u sumnju partnerski odnos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pru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atelja i korisnika usluge, a da o 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tr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ansparentnosti ne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govorimo! Dakle, u obrazlo</w:t>
            </w:r>
            <w:r w:rsidR="00BF360E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enju nedostaju konkretni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tehni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ki nedostaci u postoje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oj Odluci koji se ovim</w:t>
            </w:r>
          </w:p>
          <w:p w14:paraId="7FB6C123" w14:textId="6D4D5016" w:rsidR="004F04DD" w:rsidRPr="00037FD5" w:rsidRDefault="004F04DD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prijedlogom popravljaju, a koji bi olak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ali poslovanje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pružatelja</w:t>
            </w:r>
          </w:p>
          <w:p w14:paraId="550DFA00" w14:textId="183A31FF" w:rsidR="004F04DD" w:rsidRPr="00037FD5" w:rsidRDefault="004F04DD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usluge te kori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tenje usluge korisnicima, kako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predlagatelj navodi!</w:t>
            </w:r>
          </w:p>
          <w:p w14:paraId="4706CC14" w14:textId="2DE21E79" w:rsidR="004F04DD" w:rsidRPr="00037FD5" w:rsidRDefault="004F04DD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Nastavno, nema dvojbe da je u opravdanim situacijama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potrebno korigirati i cijenu usluge, ma kako to bilo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nepopularno, da bi se osiguralo ekonomski odr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ivo</w:t>
            </w:r>
          </w:p>
          <w:p w14:paraId="6ACFFF98" w14:textId="63D4A984" w:rsidR="004F04DD" w:rsidRPr="00037FD5" w:rsidRDefault="004F04DD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poslovanja te sigurnost, redovitost i kvaliteta pru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anja</w:t>
            </w:r>
          </w:p>
          <w:p w14:paraId="351BE255" w14:textId="3FBAA695" w:rsidR="004F04DD" w:rsidRPr="00037FD5" w:rsidRDefault="004F04DD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javne usluge kako bi sustav sakupljanja komunalnog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otpada mogao ispuniti svoju svrhu, No, iz prijedloga se ne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mo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e </w:t>
            </w:r>
            <w:r w:rsidR="0069079B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iščitati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to je to sve pru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atelj usluge sam poduzeo u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smislu racionalizacije poslovanja 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to itekako mo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 biti</w:t>
            </w:r>
          </w:p>
          <w:p w14:paraId="01BE6474" w14:textId="7B6719EC" w:rsidR="00264161" w:rsidRPr="00037FD5" w:rsidRDefault="00075F84" w:rsidP="00037FD5">
            <w:pPr>
              <w:spacing w:after="12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v</w:t>
            </w:r>
            <w:r w:rsidR="004F04DD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="004F04DD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no za smanjenje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tr</w:t>
            </w:r>
            <w:r w:rsidR="004F04DD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="004F04DD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kova, a time i za cijenu usluge.</w:t>
            </w:r>
          </w:p>
          <w:p w14:paraId="5E3A3253" w14:textId="441687EE" w:rsidR="004F04DD" w:rsidRPr="00037FD5" w:rsidRDefault="004F04DD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Dalje, predmetna odluka 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e biti apsolutni obrazac za </w:t>
            </w:r>
            <w:proofErr w:type="spellStart"/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copy</w:t>
            </w:r>
            <w:proofErr w:type="spellEnd"/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paste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lastRenderedPageBreak/>
              <w:t>odluke ostalih JLS, suosniva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 Komunalca kao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pru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atelja usluge, $to je dosada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nja praksa ve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itekako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potvrdila. Bez obzira na suosniva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ka prava tu ne mo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 i ne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smije vrijediti pravilo solidarnosti na na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in da 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 kod svih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korisnika po JLS-ima biti identi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na cijena, 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b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ez obzira 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to</w:t>
            </w:r>
          </w:p>
          <w:p w14:paraId="761E3A12" w14:textId="0EE9F8FB" w:rsidR="004F04DD" w:rsidRPr="00037FD5" w:rsidRDefault="004F04DD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Delnice imaju pojedin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no najve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 broj korisnika,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neusporediva 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 udaljenost koju prolazi vozilo na podru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ju</w:t>
            </w:r>
          </w:p>
          <w:p w14:paraId="00A6B6CF" w14:textId="7E0598C3" w:rsidR="004F04DD" w:rsidRPr="00037FD5" w:rsidRDefault="004F04DD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Grada Delnica u odnosu na kilometra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 na podru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ju svih</w:t>
            </w:r>
          </w:p>
          <w:p w14:paraId="5589B036" w14:textId="77777777" w:rsidR="004F04DD" w:rsidRPr="00037FD5" w:rsidRDefault="004F04DD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drugih suosniva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a, osim Op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ine Fu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ine, kao i do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pretovarne stanice, 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to itekako implicira i ve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 tro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kove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korisnika kod drugih JLS-a. Zbog 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ega bi korisnici na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podru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ju Grada Delnica snosili tako uve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ane, i njihove,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tro</w:t>
            </w:r>
            <w:r w:rsidR="00075F84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kove? Dakle, ne pristajemo na istu cijenu usluge!</w:t>
            </w:r>
          </w:p>
          <w:p w14:paraId="2E824C0E" w14:textId="77777777" w:rsidR="00037FD5" w:rsidRP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083FC54" w14:textId="77777777" w:rsidR="00037FD5" w:rsidRP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F641447" w14:textId="77777777" w:rsidR="00037FD5" w:rsidRP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42EA949" w14:textId="0DF58514" w:rsidR="00037FD5" w:rsidRDefault="003C6253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8E6CBE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Primjedba na članak </w:t>
            </w:r>
            <w:r w:rsidR="00037FD5" w:rsidRPr="008E6CBE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  <w14:ligatures w14:val="standardContextual"/>
              </w:rPr>
              <w:t>1.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predlo</w:t>
            </w:r>
            <w:r w:rsid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ene Odluke kojim se mijenja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članak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. 10. st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.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. 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va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žeće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0dluke.</w:t>
            </w:r>
          </w:p>
          <w:p w14:paraId="2BF55D96" w14:textId="77777777" w:rsidR="002C100C" w:rsidRPr="00037FD5" w:rsidRDefault="002C100C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5F87844" w14:textId="2E8927FE" w:rsidR="00037FD5" w:rsidRP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 obrazlo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enju se navodi da se 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lanak mijenja kako bi se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prilagodila minimalna u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estalost odvoza otpada sukladno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potrebama u pojedinim naseljima na podr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ju Grada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Delnica te kako bi se na taj na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in racionalizirali tro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kovi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pru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anja javne usluge. Na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elno bi to mogao biti argument,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no na temelju kojih egzaktnih pokazatelja 'podataka? Ono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to posebno bode u o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 jest prijedlog da se dinamika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odvoza mije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anog komunalnog otpada predla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 na</w:t>
            </w:r>
          </w:p>
          <w:p w14:paraId="58349F96" w14:textId="2D819760" w:rsidR="00037FD5" w:rsidRP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najmanje jednom mjese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no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.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S obzirom na vlastita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iskustva, informacije od mase korisnika, kao i uvidom na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terenu, kao i na sve urednije i u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estalije te odgovornije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odvajanje otpada na mjestu nastanka, o 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emu svjedo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 i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prepune posude za odlaganje staklene, papirnate, metalne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 plasti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ne ambala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e, odnosno </w:t>
            </w:r>
            <w:proofErr w:type="spellStart"/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reciklabilnog</w:t>
            </w:r>
            <w:proofErr w:type="spellEnd"/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komunalnog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otpada, nema ni jednog razloga da se mije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ani komunalni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otpada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lastRenderedPageBreak/>
              <w:t>na podru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ju Grada Delnica odvozi svakog tjedna,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ve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smatram da je dinamika odvoza tog otpada dovoljna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najvi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 dva puta mjese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no, pogotovo u hladnijim,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jesenskim, zimskim i proljetnim mjesecima, a 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to 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</w:t>
            </w:r>
          </w:p>
          <w:p w14:paraId="75DB11B5" w14:textId="0F6636B3" w:rsid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itekako utjecati na tro</w:t>
            </w:r>
            <w:r w:rsidR="003C62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kove, a onda i na cijenu usluge!</w:t>
            </w:r>
          </w:p>
          <w:p w14:paraId="2D309E07" w14:textId="77777777" w:rsidR="003C6253" w:rsidRDefault="003C6253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FD924AC" w14:textId="77777777" w:rsidR="003C6253" w:rsidRDefault="003C6253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07A44A5" w14:textId="77777777" w:rsidR="003C6253" w:rsidRPr="00037FD5" w:rsidRDefault="003C6253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CCC3C73" w14:textId="77777777" w:rsidR="008E6CBE" w:rsidRDefault="003C6253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8E6CBE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  <w14:ligatures w14:val="standardContextual"/>
              </w:rPr>
              <w:t>Primjedba na članak 3.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61DD99E3" w14:textId="73660B4B" w:rsidR="00037FD5" w:rsidRDefault="003C6253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Odluke 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kojim se </w:t>
            </w:r>
            <w:r w:rsidR="002C100C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m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</w:t>
            </w:r>
            <w:r w:rsidR="002C100C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jenja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čl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anak 1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4.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stavak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1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. i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2.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va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 Odluke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.</w:t>
            </w:r>
          </w:p>
          <w:p w14:paraId="0844E4A4" w14:textId="77777777" w:rsidR="002C100C" w:rsidRPr="00037FD5" w:rsidRDefault="002C100C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A0BC36C" w14:textId="71331D0C" w:rsidR="00037FD5" w:rsidRP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 obrazlo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enju stoji: da se 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lanak 14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.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mijenja kako bi se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uredio iznos cijene obvezne minimalne javne usluge, i to 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stavku 1, kojim se odre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đ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uje da se na podru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ju pru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anja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javne usluge primjenjuje jedinstvena cijena obvezne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minimalne javne usluge za korisnika usluge razvrstanog u</w:t>
            </w:r>
          </w:p>
          <w:p w14:paraId="784E439C" w14:textId="001389AA" w:rsidR="00037FD5" w:rsidRP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kategoriju korisnika ku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anst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v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o, odnosno u stavku 2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.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jedinstvena cijena obvezne minimalne javne usluge za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korisnika usluge razvrstanog u kategoriju korisnika koji nije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anstvo. Ovim prijedlogom Odluke </w:t>
            </w:r>
            <w:r w:rsidR="002C100C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mijenja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se cijena 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pogledu kategorije ku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anstvo s dosada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njih 45,00 kn (5,97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eura po fiksnom te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aju konve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r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zije 7,53450) na 11,82 eura,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odnosno za korisnika usluge razvrstanog u kategoriju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korisnika koji nije ku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anstvo s dosada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njih 80,00 kn (10,61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eura po fiksnom te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aju konve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r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zije 7,53450) na 26,86 eura,</w:t>
            </w:r>
          </w:p>
          <w:p w14:paraId="6D84A6F0" w14:textId="728AAD51" w:rsid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 cijenu nije uklju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če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 PDV.</w:t>
            </w:r>
          </w:p>
          <w:p w14:paraId="342565FE" w14:textId="77777777" w:rsidR="002F2E55" w:rsidRPr="00037FD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4C2B069" w14:textId="5C6CAF2D" w:rsidR="00037FD5" w:rsidRP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1, Ovakav prijedlog nove cijene ni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im nije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potkrijepljen niti argumentiran, nema analitike</w:t>
            </w:r>
          </w:p>
          <w:p w14:paraId="61D23DF5" w14:textId="77777777" w:rsidR="002C100C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tro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kova, pa je itekako dovedena u sumnju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opravdanost takvog prijedloga pove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anja cijene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usluge, Navedeno tim vi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e 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to se radi o 100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postotnom pove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anju cijene, 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to je itekako udar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na ku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ne bud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ete korisnika i 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tr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kove poslovanja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pravnih osoba.</w:t>
            </w:r>
          </w:p>
          <w:p w14:paraId="720E86A7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BD26851" w14:textId="203EFD3D" w:rsidR="00037FD5" w:rsidRP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2. U obrazlo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enju se tako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đ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er navodi da 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 to biti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cijena koja se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lastRenderedPageBreak/>
              <w:t>odre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đ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uje za cijelo podru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pru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anja javne usluge, Ne mogu prihvatiti da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identi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na cijena vrijedi na cijelom podru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čj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 na</w:t>
            </w:r>
          </w:p>
          <w:p w14:paraId="2F7BB82D" w14:textId="25AB4FA6" w:rsidR="00037FD5" w:rsidRP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kojem Komunalac pru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 predmetnu uslugu. Bez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obzira koji 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 to u kona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nici biti apsolutni iznos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cijene, on mo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 vrijediti samo na podru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ju Grada</w:t>
            </w:r>
          </w:p>
          <w:p w14:paraId="34AB8F60" w14:textId="4E71E372" w:rsidR="00037FD5" w:rsidRP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Delnica, a za ostale ju treba izra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unati 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zavisnosti o st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v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arnim tro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kovima pru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anja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usluge. Tu nema prostora za solidarnost,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pozivaju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i se 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na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elo, koje se apostrofira i 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obrazlo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enju prijedloga, da se cijena formira,</w:t>
            </w:r>
          </w:p>
          <w:p w14:paraId="34A8144B" w14:textId="714383C2" w:rsidR="00037FD5" w:rsidRP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izme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đ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 ostalog, i po na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elu: one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iva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č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pla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a!</w:t>
            </w:r>
          </w:p>
          <w:p w14:paraId="5CF9BA93" w14:textId="6E1115D3" w:rsid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Prema tome, one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šć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iva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 s podru</w:t>
            </w:r>
            <w:r w:rsidR="002C100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ja drugih JLS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-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neka snose svoje 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ro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šk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ove.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4B433795" w14:textId="77777777" w:rsidR="00A5710E" w:rsidRDefault="00A5710E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34EFEE4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8299122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6765B76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2615C69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F6A3EC9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21905A7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FD7A125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734B7C8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5CB1F98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6DFC71E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88BD6AD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71C5D98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5F7BF9C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0174025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3BC4113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04E2416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3984289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1DC84C5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499DE49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5A94621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69B0B5F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6D33B10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7272631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0D0D9A4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A75C0B7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9D09843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A65CE58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8463F7E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2C53C02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02B7C8F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8B3FE74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602CE55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76CD548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CA14877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8771986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F2447E0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164C88E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B60D83E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0EA09FB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882EACC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6387276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E040C3A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F869B05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44847A0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090C118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E888580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92B03DE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FD021F0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2B54DBB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9DF581D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CF495B3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374A2FA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651D1DB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0C17A3C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DD7D603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6E3AF2D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B5DA640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DCB4CCA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21F73D7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D32709E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C41B5BF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EBC2716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E26D269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884DDB4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1E8B516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28DF520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4B8CA50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D3A102F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30A9333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A79DFCE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A753B7D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AEC3814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DFD8657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37A6BF1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36A2EF6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C78176A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70D681B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78A6285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F464AEF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5960EC9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A811FE9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4F02792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B534EC1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471C79E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380E692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6BA7FC1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E8BBDDB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D890561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898F956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A573918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FEDF8B4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911A7A9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3EE7A48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BB94974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9DBDD03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648547B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0880278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4FFAE62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0087CEC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66CFD61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95E34F5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8E3EB6C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481DF52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BF9B5D0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1CCD4F8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30DDC92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43A1176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CD8AF53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128B500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B1D5F54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0762669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048B177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58794DE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E36F0A7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F19210A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45BD765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ADBB87F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7D02ED4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A114E7D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6DF5C27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8C8564D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A1E9EBE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C4BAE17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70F288C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C3614C9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3D77A86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A134FD2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D0C8F8B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C820771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6D9F2B4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14FFA70" w14:textId="77777777" w:rsidR="00BF0E55" w:rsidRDefault="00BF0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8EE36B3" w14:textId="77777777" w:rsidR="002F2E55" w:rsidRDefault="002F2E5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DF4BBB0" w14:textId="77777777" w:rsidR="00A5710E" w:rsidRDefault="00A5710E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8D1F4C9" w14:textId="77777777" w:rsidR="00BF0E55" w:rsidRPr="00BF0E55" w:rsidRDefault="00A5710E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BF0E55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  <w14:ligatures w14:val="standardContextual"/>
              </w:rPr>
              <w:t>Primjedba na</w:t>
            </w:r>
            <w:r w:rsidR="00BF0E55" w:rsidRPr="00BF0E55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BF0E55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članak 4. </w:t>
            </w:r>
          </w:p>
          <w:p w14:paraId="0348DDBF" w14:textId="61D2A35C" w:rsidR="00037FD5" w:rsidRPr="00037FD5" w:rsidRDefault="00A5710E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kojim se mijenja članak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24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. 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stavak 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. 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i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.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u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osnovi nije sporan, no kako se vrlo temeljito i detaljno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definira penalizacija, isto tako bi bilo nu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no definirati i</w:t>
            </w:r>
          </w:p>
          <w:p w14:paraId="750986D2" w14:textId="57919392" w:rsidR="00037FD5" w:rsidRDefault="00037FD5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stimulativne kriterije kako bi se korisnike, pored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ekolo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kih razloga, stimuliralo i ekonomskim mjerama i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elementima koji bi im u kona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nici mjese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no umanjili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cijenu usluge koju su du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ni platiti! Primjera radi, zbog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ega se ne nagra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đ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uju manjom cijenom usluge sve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one korisnike koji </w:t>
            </w:r>
            <w:proofErr w:type="spellStart"/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kompostiraju</w:t>
            </w:r>
            <w:proofErr w:type="spellEnd"/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svoj bio otpad i na taj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na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in itekako smanjuju koli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inu </w:t>
            </w:r>
            <w:proofErr w:type="spellStart"/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mje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anog</w:t>
            </w:r>
            <w:proofErr w:type="spellEnd"/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komunalnog otpada. Tu okolnost, na temelju prijave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korisnika usluge, vrlo lako mo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 utvrditi i po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tv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rditi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odgovorna osoba pru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atelja usluge o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evidom kod</w:t>
            </w:r>
            <w:r w:rsidR="00A5710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korisnika.</w:t>
            </w:r>
          </w:p>
          <w:p w14:paraId="080D3177" w14:textId="77777777" w:rsidR="00A5710E" w:rsidRDefault="00A5710E" w:rsidP="00037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EB71FEB" w14:textId="7DDEBDFC" w:rsidR="00037FD5" w:rsidRPr="00037FD5" w:rsidRDefault="00A5710E" w:rsidP="00BF0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E55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  <w14:ligatures w14:val="standardContextual"/>
              </w:rPr>
              <w:lastRenderedPageBreak/>
              <w:t xml:space="preserve">Primjedba na </w:t>
            </w:r>
            <w:r w:rsidR="00BF0E55" w:rsidRPr="00BF0E55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 č</w:t>
            </w:r>
            <w:r w:rsidRPr="00BF0E55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  <w14:ligatures w14:val="standardContextual"/>
              </w:rPr>
              <w:t>lanak 5.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predlo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ene izmjene korigirati sukladno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037FD5" w:rsidRPr="00037F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primjedbama koje sam iznio prethodno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!</w:t>
            </w:r>
          </w:p>
        </w:tc>
        <w:tc>
          <w:tcPr>
            <w:tcW w:w="2632" w:type="dxa"/>
          </w:tcPr>
          <w:p w14:paraId="36827F1D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BA4CA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4AF13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E738C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DC516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B8503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81626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38467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9E4CD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69212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509B5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34D81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7CDA8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6DF2B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133C5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A2614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C2F78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BA83A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B586D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A45C4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D4807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07F4F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D7272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EFB0C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19E2F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652A6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D6C04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B8E27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A1AB9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6EF71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0CC2B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A49EB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FE59F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758FF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11DFB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E6C44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46000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00FFE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01575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EC3E1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9FB3A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3F777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C7956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1144F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12735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1CFA2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83EB6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FC677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4F1AF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D03C6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221A4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3E24A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1EC05" w14:textId="18145373" w:rsidR="00942C94" w:rsidRPr="00F475E7" w:rsidRDefault="00942C94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Primjedba na članak 1.</w:t>
            </w:r>
          </w:p>
          <w:p w14:paraId="50332DC8" w14:textId="7D9A471D" w:rsidR="00121DD0" w:rsidRPr="008E6CBE" w:rsidRDefault="008E6CBE" w:rsidP="00167938">
            <w:pPr>
              <w:pStyle w:val="Odlomakpopisa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167938"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prihvaća se</w:t>
            </w:r>
          </w:p>
          <w:p w14:paraId="00EC80DB" w14:textId="77777777" w:rsidR="00BF0E55" w:rsidRPr="00BF0E55" w:rsidRDefault="00BF0E55" w:rsidP="00BF0E5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24943" w14:textId="3237D986" w:rsidR="00121DD0" w:rsidRDefault="00121DD0" w:rsidP="00425C3F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U članku</w:t>
            </w:r>
            <w:r w:rsidR="00942C94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1. a vezano za članak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10. st. 1. </w:t>
            </w:r>
            <w:r w:rsidR="00942C94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važeće Odluke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predlagatelj </w:t>
            </w:r>
            <w:r w:rsidR="00167938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definira minimalnu učestalost odvoza otpada na način da se otvara mogućnost smanjenja učestalosti odvoza miješanog komunalnog otpada u smislu stvarnih potreba i okolnosti pružanja usluge </w:t>
            </w:r>
            <w:r w:rsidR="00942C94" w:rsidRPr="00F475E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167938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z obavezno poštivanje higijenskih standarda. Dakle, dijelom se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mijenja opisni dio</w:t>
            </w:r>
            <w:r w:rsidR="00167938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pojedine vrste otpada ali učestalost primopredaje ostaje ista</w:t>
            </w:r>
            <w:r w:rsidR="00942C94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definirana sada važećom Odlukom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uz napomenu da </w:t>
            </w:r>
            <w:r w:rsidRPr="00F475E7">
              <w:rPr>
                <w:rFonts w:ascii="Times New Roman" w:eastAsia="Calibri" w:hAnsi="Times New Roman" w:cs="Times New Roman"/>
                <w:sz w:val="20"/>
                <w:szCs w:val="20"/>
              </w:rPr>
              <w:t>na temelju zahtjeva davatelja usluge Grad Delnice može odobriti i drukčiju učestalost odvoza miješanog komunalnog otpada.</w:t>
            </w:r>
          </w:p>
          <w:p w14:paraId="24BC631E" w14:textId="77777777" w:rsidR="006227B4" w:rsidRPr="00F475E7" w:rsidRDefault="006227B4" w:rsidP="00425C3F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EA3609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BEEC6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B3465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54A6F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6C778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8D6F4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0757A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BDB9C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6EB38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DBE24" w14:textId="77777777" w:rsidR="00BF0E55" w:rsidRDefault="00BF0E55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E6243" w14:textId="6A73ABBC" w:rsidR="00942C94" w:rsidRPr="00F475E7" w:rsidRDefault="00942C94" w:rsidP="00942C9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Primjedba na </w:t>
            </w:r>
            <w:r w:rsidR="008E6CBE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lanak 3.</w:t>
            </w:r>
          </w:p>
          <w:p w14:paraId="2ED6D7A1" w14:textId="47AB81DF" w:rsidR="00167938" w:rsidRPr="008E6CBE" w:rsidRDefault="008E6CBE" w:rsidP="008E6CBE">
            <w:pPr>
              <w:pStyle w:val="Odlomakpopisa"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djelomično</w:t>
            </w:r>
            <w:r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67938"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 prihvaća</w:t>
            </w:r>
          </w:p>
          <w:p w14:paraId="55AAAFA1" w14:textId="359FFCCD" w:rsidR="00167938" w:rsidRPr="00F475E7" w:rsidRDefault="00167938" w:rsidP="0016793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Primjedba se prihvaća u dijelu </w:t>
            </w:r>
            <w:r w:rsidR="009C6E53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koja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dovodi </w:t>
            </w:r>
            <w:r w:rsidR="009C6E53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u pitanje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visinu predložene cijene </w:t>
            </w:r>
            <w:r w:rsidR="009C6E53" w:rsidRPr="00F475E7">
              <w:rPr>
                <w:rFonts w:ascii="Times New Roman" w:hAnsi="Times New Roman" w:cs="Times New Roman"/>
                <w:sz w:val="20"/>
                <w:szCs w:val="20"/>
              </w:rPr>
              <w:t>jer kako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6E53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se i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navodi nije potkrijepljena analitikom troškova. Obvezna minimalna javna usluga je iznos koji se osigurava radi ekonomski održivog poslovanja te sigurnosti, redovitosti i kvalitete pružanja javne usluge a što Grad Delnice ni u kom slučaju ne želi dovesti </w:t>
            </w:r>
            <w:r w:rsidR="009C6E53" w:rsidRPr="00F475E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pitanj</w:t>
            </w:r>
            <w:r w:rsidR="009C6E53" w:rsidRPr="00F475E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8D11F4" w14:textId="77777777" w:rsidR="006227B4" w:rsidRDefault="00167938" w:rsidP="00167938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Cijena obvezne minimalne javne usluge </w:t>
            </w:r>
            <w:r w:rsidR="009C6E53"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članku 80. Zakona </w:t>
            </w: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uključuje troškove sakupljanj</w:t>
            </w:r>
            <w:r w:rsidR="009C6E53"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odvoz</w:t>
            </w:r>
            <w:r w:rsidR="009C6E53"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miješanog i biorazgradivog komunalnog otpada s obračunskog mjesta korisnika, sakupljanje i odvoz </w:t>
            </w:r>
            <w:proofErr w:type="spellStart"/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reciklabilnog</w:t>
            </w:r>
            <w:proofErr w:type="spellEnd"/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komunalnog otpada s obračunskog mjesta korisnika, sakupljanje i odvoz glomaznog (krupnog) komunalnog otpada jednom godišnje (samo za korisnike kategorije kućanstvo) s obračunskog mjesta korisnika, preuzimanje komunalnog otpada u </w:t>
            </w:r>
            <w:proofErr w:type="spellStart"/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reciklažnom</w:t>
            </w:r>
            <w:proofErr w:type="spellEnd"/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dvorištu i u izdvojenim spremnicima za odvojeno sakupljanje otpada.</w:t>
            </w:r>
          </w:p>
          <w:p w14:paraId="161FB19B" w14:textId="2DEAF1AB" w:rsidR="00B34D84" w:rsidRDefault="00167938" w:rsidP="00167938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Navedene usluge obuhvaćaju materijalne troškove (osnovni i uredski materijal, električnu energiju, gorivo, mazivo, sitni inventar, auto gume i slično), troškove usluga (poštarine, telekomunikacije, </w:t>
            </w:r>
            <w:r w:rsidR="00231A5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troškove </w:t>
            </w: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tekućeg održavanja, najma </w:t>
            </w: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opreme, režijske troškove, financijske rashode, premije osiguranja, registracije i tehničke preglede i slično), nematerijalne troškove (prijevoz radnika, topli obrok i nagrade, otpremnine, pomoći), troškove plaća radnika, troškove amortizacije, troškove nabave i održavanja opreme za prikupljanje i obradu otpada te troškove vođenja propisanih evidencija i izvještavanja (zakonski i regulatorni troškovi).</w:t>
            </w:r>
            <w:r w:rsidR="009C6E53"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942C94"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Sada v</w:t>
            </w:r>
            <w:r w:rsidR="009C6E53"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ažeća cijena primjenjuje se od travnja 2023</w:t>
            </w:r>
            <w:r w:rsidR="00942C94"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9C6E53"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 bazi troškova iz 2021. </w:t>
            </w:r>
          </w:p>
          <w:p w14:paraId="7100CE5A" w14:textId="583FF2B4" w:rsidR="00E271A7" w:rsidRDefault="009C6E53" w:rsidP="00167938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Imajući u vidu povećanje troškova u referentnom razdoblju, prema</w:t>
            </w:r>
            <w:r w:rsidRPr="00F475E7">
              <w:t xml:space="preserve">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potrošačkom indeksu od početka 2021. do kraja 2025., pod pretpostavkom da 2025. </w:t>
            </w:r>
            <w:r w:rsidR="006227B4">
              <w:rPr>
                <w:rFonts w:ascii="Times New Roman" w:hAnsi="Times New Roman" w:cs="Times New Roman"/>
                <w:sz w:val="20"/>
                <w:szCs w:val="20"/>
              </w:rPr>
              <w:t>g.</w:t>
            </w:r>
            <w:r w:rsidR="00531F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završi sa </w:t>
            </w:r>
            <w:r w:rsidR="00B34D84">
              <w:rPr>
                <w:rFonts w:ascii="Times New Roman" w:hAnsi="Times New Roman" w:cs="Times New Roman"/>
                <w:sz w:val="20"/>
                <w:szCs w:val="20"/>
              </w:rPr>
              <w:t xml:space="preserve">cca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3.6% inflacije, cijene su </w:t>
            </w:r>
            <w:r w:rsidRPr="006227B4">
              <w:rPr>
                <w:rStyle w:val="Naglaeno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kumulativno porasle oko +31 %</w:t>
            </w:r>
            <w:r w:rsidRPr="006227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027705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No, svakako je činjenica da su neki troškovi porasli i znatno više </w:t>
            </w:r>
            <w:r w:rsidR="008104E7" w:rsidRPr="00F475E7">
              <w:rPr>
                <w:rFonts w:ascii="Times New Roman" w:hAnsi="Times New Roman" w:cs="Times New Roman"/>
                <w:sz w:val="20"/>
                <w:szCs w:val="20"/>
              </w:rPr>
              <w:t>od utvrđene kumulativne inflacije</w:t>
            </w:r>
            <w:r w:rsidR="00A518E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90984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1A7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Značajnije su porasli troškovi zbrinjavanja </w:t>
            </w:r>
            <w:proofErr w:type="spellStart"/>
            <w:r w:rsidR="00E271A7" w:rsidRPr="00F475E7">
              <w:rPr>
                <w:rFonts w:ascii="Times New Roman" w:hAnsi="Times New Roman" w:cs="Times New Roman"/>
                <w:sz w:val="20"/>
                <w:szCs w:val="20"/>
              </w:rPr>
              <w:t>reciklabilnog</w:t>
            </w:r>
            <w:proofErr w:type="spellEnd"/>
            <w:r w:rsidR="00E271A7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komunalnog otpada kao i troškovi zbrinjavanja glomaznog otpada</w:t>
            </w:r>
            <w:r w:rsidR="006227B4">
              <w:rPr>
                <w:rFonts w:ascii="Times New Roman" w:hAnsi="Times New Roman" w:cs="Times New Roman"/>
                <w:sz w:val="20"/>
                <w:szCs w:val="20"/>
              </w:rPr>
              <w:t>, troškovi osoblja</w:t>
            </w:r>
            <w:r w:rsidR="00E271A7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90984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Troškovi osoblja </w:t>
            </w:r>
            <w:r w:rsidR="00E271A7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koji </w:t>
            </w:r>
            <w:r w:rsidR="00B90984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čine 57 % </w:t>
            </w:r>
            <w:r w:rsidR="00E271A7" w:rsidRPr="00F475E7">
              <w:rPr>
                <w:rFonts w:ascii="Times New Roman" w:hAnsi="Times New Roman" w:cs="Times New Roman"/>
                <w:sz w:val="20"/>
                <w:szCs w:val="20"/>
              </w:rPr>
              <w:t>ukupno navedenih troškova</w:t>
            </w:r>
            <w:r w:rsidR="00B90984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4D84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r w:rsidR="00E271A7" w:rsidRPr="00F475E7">
              <w:rPr>
                <w:rFonts w:ascii="Times New Roman" w:hAnsi="Times New Roman" w:cs="Times New Roman"/>
                <w:sz w:val="20"/>
                <w:szCs w:val="20"/>
              </w:rPr>
              <w:t>prikazanom obrazloženju  uvećani su za 103%</w:t>
            </w:r>
            <w:r w:rsidR="006227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85D6FC5" w14:textId="04A2E30A" w:rsidR="005A2050" w:rsidRPr="00F475E7" w:rsidRDefault="005A2050" w:rsidP="00167938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Prema službenim podacima DZS primjerice, povećanje cijena od 2021. o 2025.</w:t>
            </w:r>
            <w:r w:rsidR="006227B4">
              <w:rPr>
                <w:rFonts w:ascii="Times New Roman" w:hAnsi="Times New Roman" w:cs="Times New Roman"/>
                <w:sz w:val="20"/>
                <w:szCs w:val="20"/>
              </w:rPr>
              <w:t>g.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 za benzin</w:t>
            </w:r>
            <w:r w:rsidR="006227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ovisno o vrsti</w:t>
            </w:r>
            <w:r w:rsidR="006227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iznosi 9-12%, dizel 10-15%, ukupni trošak </w:t>
            </w:r>
            <w:proofErr w:type="spellStart"/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ele</w:t>
            </w:r>
            <w:proofErr w:type="spellEnd"/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. energije 120% od čega povećanje cijene kilovata 30%, osiguranje vozila 30% , ostale uslužne djelatnosti</w:t>
            </w:r>
            <w:r w:rsidR="00C21C40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porasle su 30%</w:t>
            </w:r>
            <w:r w:rsidR="00A518EF">
              <w:rPr>
                <w:rFonts w:ascii="Times New Roman" w:hAnsi="Times New Roman" w:cs="Times New Roman"/>
                <w:sz w:val="20"/>
                <w:szCs w:val="20"/>
              </w:rPr>
              <w:t>, nominaln</w:t>
            </w:r>
            <w:r w:rsidR="008E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A518EF">
              <w:rPr>
                <w:rFonts w:ascii="Times New Roman" w:hAnsi="Times New Roman" w:cs="Times New Roman"/>
                <w:sz w:val="20"/>
                <w:szCs w:val="20"/>
              </w:rPr>
              <w:t xml:space="preserve"> bruto plaće 60-70%</w:t>
            </w:r>
            <w:r w:rsidR="00C21C40" w:rsidRPr="00F47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B14F34E" w14:textId="051F031A" w:rsidR="00C21C40" w:rsidRPr="00F475E7" w:rsidRDefault="00A518EF" w:rsidP="00167938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Prosječno po</w:t>
            </w:r>
            <w:r w:rsidR="00C21C40" w:rsidRPr="00F475E7">
              <w:rPr>
                <w:rFonts w:ascii="Times New Roman" w:hAnsi="Times New Roman" w:cs="Times New Roman"/>
                <w:sz w:val="20"/>
                <w:szCs w:val="20"/>
              </w:rPr>
              <w:t>većanje cijena usluge  odvoza otpada</w:t>
            </w:r>
            <w:r w:rsidR="00F475E7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referentnom razdoblju</w:t>
            </w:r>
            <w:r w:rsidR="00F475E7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C40" w:rsidRPr="00F475E7">
              <w:rPr>
                <w:rFonts w:ascii="Times New Roman" w:hAnsi="Times New Roman" w:cs="Times New Roman"/>
                <w:sz w:val="20"/>
                <w:szCs w:val="20"/>
              </w:rPr>
              <w:t>kreć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</w:t>
            </w:r>
            <w:r w:rsidR="00C21C40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r w:rsidR="006227B4">
              <w:rPr>
                <w:rFonts w:ascii="Times New Roman" w:hAnsi="Times New Roman" w:cs="Times New Roman"/>
                <w:sz w:val="20"/>
                <w:szCs w:val="20"/>
              </w:rPr>
              <w:t xml:space="preserve">intervalu od </w:t>
            </w:r>
            <w:r w:rsidR="00C21C40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30 do 70% u ovisno o vrsti troška koje terete pojedina poduzeća (deponiranje, reciklaža, zatvaranje odlagališta </w:t>
            </w:r>
            <w:r w:rsidR="00401C36" w:rsidRPr="00F475E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31A50">
              <w:rPr>
                <w:rFonts w:ascii="Times New Roman" w:hAnsi="Times New Roman" w:cs="Times New Roman"/>
                <w:sz w:val="20"/>
                <w:szCs w:val="20"/>
              </w:rPr>
              <w:t xml:space="preserve"> sl</w:t>
            </w:r>
            <w:r w:rsidR="00C21C40" w:rsidRPr="00F475E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14:paraId="10209E44" w14:textId="63A18197" w:rsidR="00167938" w:rsidRDefault="00027705" w:rsidP="00167938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Udio fiksnog dijela </w:t>
            </w:r>
            <w:r w:rsidR="007C0FA1" w:rsidRPr="00F475E7">
              <w:rPr>
                <w:rFonts w:ascii="Times New Roman" w:hAnsi="Times New Roman" w:cs="Times New Roman"/>
                <w:sz w:val="20"/>
                <w:szCs w:val="20"/>
              </w:rPr>
              <w:t>cijene ob</w:t>
            </w:r>
            <w:r w:rsidR="00A518EF">
              <w:rPr>
                <w:rFonts w:ascii="Times New Roman" w:hAnsi="Times New Roman" w:cs="Times New Roman"/>
                <w:sz w:val="20"/>
                <w:szCs w:val="20"/>
              </w:rPr>
              <w:t>av</w:t>
            </w:r>
            <w:r w:rsidR="007C0FA1" w:rsidRPr="00F475E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A518E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C0FA1" w:rsidRPr="00F475E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A518E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C0FA1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minimalne javne usluge</w:t>
            </w:r>
            <w:r w:rsidR="008E6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="008E6CBE">
              <w:rPr>
                <w:rFonts w:ascii="Times New Roman" w:hAnsi="Times New Roman" w:cs="Times New Roman"/>
                <w:sz w:val="20"/>
                <w:szCs w:val="20"/>
              </w:rPr>
              <w:t xml:space="preserve">  prijedlogu</w:t>
            </w:r>
            <w:r w:rsidR="00B90984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ukupn</w:t>
            </w:r>
            <w:r w:rsidR="008E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B90984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cijen</w:t>
            </w:r>
            <w:r w:rsidR="008E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C0FA1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usluge</w:t>
            </w:r>
            <w:r w:rsidR="00B90984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r w:rsidR="00C21C40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izračunu Komunalca Delnice </w:t>
            </w:r>
            <w:r w:rsidR="00B90984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iznosi cca  65 % ovisno o broju odvoza u obračunskom razdoblju.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Slijedom navedenog a imajući u vidu i cijene </w:t>
            </w:r>
            <w:r w:rsidR="007C0FA1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obvezne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minimalne javne usluge u okruženju</w:t>
            </w:r>
            <w:r w:rsidR="008104E7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predl</w:t>
            </w:r>
            <w:r w:rsidR="00DB2125" w:rsidRPr="00F475E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="00DB2125" w:rsidRPr="00F475E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B2125" w:rsidRPr="00F475E7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="008E6CBE">
              <w:rPr>
                <w:rFonts w:ascii="Times New Roman" w:hAnsi="Times New Roman" w:cs="Times New Roman"/>
                <w:sz w:val="20"/>
                <w:szCs w:val="20"/>
              </w:rPr>
              <w:t xml:space="preserve"> prihvatiti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F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C21C40" w:rsidRPr="00E83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0% </w:t>
            </w:r>
            <w:r w:rsidR="008E6CBE">
              <w:rPr>
                <w:rFonts w:ascii="Times New Roman" w:hAnsi="Times New Roman" w:cs="Times New Roman"/>
                <w:sz w:val="20"/>
                <w:szCs w:val="20"/>
              </w:rPr>
              <w:t xml:space="preserve">predložene </w:t>
            </w:r>
            <w:r w:rsidR="00DB2125" w:rsidRPr="00F475E7">
              <w:rPr>
                <w:rFonts w:ascii="Times New Roman" w:hAnsi="Times New Roman" w:cs="Times New Roman"/>
                <w:sz w:val="20"/>
                <w:szCs w:val="20"/>
              </w:rPr>
              <w:t>cijen</w:t>
            </w:r>
            <w:r w:rsidR="008E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B2125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obvezne minimalne  javne usluge</w:t>
            </w:r>
            <w:r w:rsidR="00E93414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za kategoriju kućanstvo</w:t>
            </w:r>
            <w:r w:rsidR="00E93414">
              <w:rPr>
                <w:rFonts w:ascii="Times New Roman" w:hAnsi="Times New Roman" w:cs="Times New Roman"/>
                <w:sz w:val="20"/>
                <w:szCs w:val="20"/>
              </w:rPr>
              <w:t xml:space="preserve"> što</w:t>
            </w:r>
            <w:r w:rsidR="008104E7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125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iznosi</w:t>
            </w:r>
            <w:r w:rsidR="00DB2125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AB3">
              <w:rPr>
                <w:rFonts w:ascii="Times New Roman" w:hAnsi="Times New Roman" w:cs="Times New Roman"/>
                <w:sz w:val="20"/>
                <w:szCs w:val="20"/>
              </w:rPr>
              <w:t>9,46</w:t>
            </w:r>
            <w:r w:rsidR="00401C36" w:rsidRPr="004A2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125" w:rsidRPr="004A26EB">
              <w:rPr>
                <w:rFonts w:ascii="Times New Roman" w:hAnsi="Times New Roman" w:cs="Times New Roman"/>
                <w:sz w:val="20"/>
                <w:szCs w:val="20"/>
              </w:rPr>
              <w:t>eura bez PDV-a umjesto 11,82 eura</w:t>
            </w:r>
            <w:r w:rsidR="00C33A33">
              <w:rPr>
                <w:rFonts w:ascii="Times New Roman" w:hAnsi="Times New Roman" w:cs="Times New Roman"/>
                <w:sz w:val="20"/>
                <w:szCs w:val="20"/>
              </w:rPr>
              <w:t xml:space="preserve"> (povećanje </w:t>
            </w:r>
            <w:r w:rsidR="001D7EE2">
              <w:rPr>
                <w:rFonts w:ascii="Times New Roman" w:hAnsi="Times New Roman" w:cs="Times New Roman"/>
                <w:sz w:val="20"/>
                <w:szCs w:val="20"/>
              </w:rPr>
              <w:t xml:space="preserve">u odnosu na sadašnju cijenu </w:t>
            </w:r>
            <w:r w:rsidR="00C33A33">
              <w:rPr>
                <w:rFonts w:ascii="Times New Roman" w:hAnsi="Times New Roman" w:cs="Times New Roman"/>
                <w:sz w:val="20"/>
                <w:szCs w:val="20"/>
              </w:rPr>
              <w:t>od 58%)</w:t>
            </w:r>
            <w:r w:rsidR="00DB2125" w:rsidRPr="004A26EB">
              <w:rPr>
                <w:rFonts w:ascii="Times New Roman" w:hAnsi="Times New Roman" w:cs="Times New Roman"/>
                <w:sz w:val="20"/>
                <w:szCs w:val="20"/>
              </w:rPr>
              <w:t xml:space="preserve">, te </w:t>
            </w:r>
            <w:r w:rsidR="00C33A33">
              <w:rPr>
                <w:rFonts w:ascii="Times New Roman" w:hAnsi="Times New Roman" w:cs="Times New Roman"/>
                <w:sz w:val="20"/>
                <w:szCs w:val="20"/>
              </w:rPr>
              <w:t xml:space="preserve">70% predložene cijene za </w:t>
            </w:r>
            <w:r w:rsidR="00DB2125" w:rsidRPr="004A26EB">
              <w:rPr>
                <w:rFonts w:ascii="Times New Roman" w:hAnsi="Times New Roman" w:cs="Times New Roman"/>
                <w:sz w:val="20"/>
                <w:szCs w:val="20"/>
              </w:rPr>
              <w:t>kategoriju n</w:t>
            </w:r>
            <w:r w:rsidR="008104E7" w:rsidRPr="004A26EB">
              <w:rPr>
                <w:rFonts w:ascii="Times New Roman" w:hAnsi="Times New Roman" w:cs="Times New Roman"/>
                <w:sz w:val="20"/>
                <w:szCs w:val="20"/>
              </w:rPr>
              <w:t xml:space="preserve">ije </w:t>
            </w:r>
            <w:r w:rsidR="00DB2125" w:rsidRPr="004A26EB">
              <w:rPr>
                <w:rFonts w:ascii="Times New Roman" w:hAnsi="Times New Roman" w:cs="Times New Roman"/>
                <w:sz w:val="20"/>
                <w:szCs w:val="20"/>
              </w:rPr>
              <w:t xml:space="preserve">kućanstvo </w:t>
            </w:r>
            <w:r w:rsidR="00C33A33">
              <w:rPr>
                <w:rFonts w:ascii="Times New Roman" w:hAnsi="Times New Roman" w:cs="Times New Roman"/>
                <w:sz w:val="20"/>
                <w:szCs w:val="20"/>
              </w:rPr>
              <w:t xml:space="preserve">u iznosu od </w:t>
            </w:r>
            <w:r w:rsidR="00E93414">
              <w:rPr>
                <w:rFonts w:ascii="Times New Roman" w:hAnsi="Times New Roman" w:cs="Times New Roman"/>
                <w:sz w:val="20"/>
                <w:szCs w:val="20"/>
              </w:rPr>
              <w:t>18,80</w:t>
            </w:r>
            <w:r w:rsidR="00401C36" w:rsidRPr="004A2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125" w:rsidRPr="00F475E7">
              <w:rPr>
                <w:rFonts w:ascii="Times New Roman" w:hAnsi="Times New Roman" w:cs="Times New Roman"/>
                <w:sz w:val="20"/>
                <w:szCs w:val="20"/>
              </w:rPr>
              <w:t>eura bez PDV-a</w:t>
            </w:r>
            <w:r w:rsidR="003D0150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125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umjesto </w:t>
            </w:r>
            <w:r w:rsidR="00FB5AB3">
              <w:rPr>
                <w:rFonts w:ascii="Times New Roman" w:hAnsi="Times New Roman" w:cs="Times New Roman"/>
                <w:sz w:val="20"/>
                <w:szCs w:val="20"/>
              </w:rPr>
              <w:t xml:space="preserve">traženih </w:t>
            </w:r>
            <w:r w:rsidR="00DB2125" w:rsidRPr="00F475E7">
              <w:rPr>
                <w:rFonts w:ascii="Times New Roman" w:hAnsi="Times New Roman" w:cs="Times New Roman"/>
                <w:sz w:val="20"/>
                <w:szCs w:val="20"/>
              </w:rPr>
              <w:t>26,86 eura bez PDV-a</w:t>
            </w:r>
            <w:r w:rsidR="00C33A33">
              <w:rPr>
                <w:rFonts w:ascii="Times New Roman" w:hAnsi="Times New Roman" w:cs="Times New Roman"/>
                <w:sz w:val="20"/>
                <w:szCs w:val="20"/>
              </w:rPr>
              <w:t xml:space="preserve"> (povećanje</w:t>
            </w:r>
            <w:r w:rsidR="001D7EE2">
              <w:rPr>
                <w:rFonts w:ascii="Times New Roman" w:hAnsi="Times New Roman" w:cs="Times New Roman"/>
                <w:sz w:val="20"/>
                <w:szCs w:val="20"/>
              </w:rPr>
              <w:t xml:space="preserve"> u odnosu na sadašnju cijenu</w:t>
            </w:r>
            <w:r w:rsidR="00C33A33">
              <w:rPr>
                <w:rFonts w:ascii="Times New Roman" w:hAnsi="Times New Roman" w:cs="Times New Roman"/>
                <w:sz w:val="20"/>
                <w:szCs w:val="20"/>
              </w:rPr>
              <w:t xml:space="preserve"> od 77 %)</w:t>
            </w:r>
            <w:r w:rsidR="00DB2125" w:rsidRPr="00F475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9606C4" w14:textId="77777777" w:rsidR="008E6CBE" w:rsidRPr="008E6CBE" w:rsidRDefault="008E6CBE" w:rsidP="00167938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C34D6B" w14:textId="4D1169F1" w:rsidR="003D0150" w:rsidRPr="008E6CBE" w:rsidRDefault="008E6CBE" w:rsidP="003D0150">
            <w:pPr>
              <w:pStyle w:val="Odlomakpopisa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3D0150"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prihvaća se</w:t>
            </w:r>
          </w:p>
          <w:p w14:paraId="5F9ED1F9" w14:textId="6AEA35CA" w:rsidR="00AB1664" w:rsidRDefault="00DB2125" w:rsidP="003D0150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Primjedba diferenciranja cijene po pojedinim jedinicama lokalne samouprave na području pružanja usluge</w:t>
            </w:r>
            <w:r w:rsidR="001D7EE2">
              <w:rPr>
                <w:rFonts w:ascii="Times New Roman" w:hAnsi="Times New Roman" w:cs="Times New Roman"/>
                <w:sz w:val="20"/>
                <w:szCs w:val="20"/>
              </w:rPr>
              <w:t xml:space="preserve"> iz razloga udaljenosti svake pojedine JLS nije opravdano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jer većina troškova ne ovisi</w:t>
            </w:r>
            <w:r w:rsidR="001D7EE2">
              <w:rPr>
                <w:rFonts w:ascii="Times New Roman" w:hAnsi="Times New Roman" w:cs="Times New Roman"/>
                <w:sz w:val="20"/>
                <w:szCs w:val="20"/>
              </w:rPr>
              <w:t xml:space="preserve"> isključivo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o području</w:t>
            </w:r>
            <w:r w:rsidR="008104E7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150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04E7" w:rsidRPr="00F475E7">
              <w:rPr>
                <w:rFonts w:ascii="Times New Roman" w:hAnsi="Times New Roman" w:cs="Times New Roman"/>
                <w:sz w:val="20"/>
                <w:szCs w:val="20"/>
              </w:rPr>
              <w:t>pružanja usluge</w:t>
            </w:r>
            <w:r w:rsidR="00AB16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ECF7A2" w14:textId="56DDEE85" w:rsidR="00AB1664" w:rsidRPr="00F475E7" w:rsidRDefault="00AB1664" w:rsidP="00AB1664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</w:t>
            </w:r>
            <w:r w:rsidR="001D7EE2"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perativno područje davatelja usluge čini jedinstveni sustav odvoza otpada, u kojem se vozila i ljudski resursi raspoređuju prema planiranim rutama, a svi ostali troškovi goriva, rada i održavanja ne mogu se precizno razgraničiti po JLS-ima. Dodatno, pojedina naselja koja administrativno pripadaju Gradu Delnicama (primjerice naselja u Kupskoj dolini) </w:t>
            </w:r>
            <w:r w:rsidR="001D7EE2" w:rsidRPr="00F475E7">
              <w:rPr>
                <w:rFonts w:ascii="Times New Roman" w:eastAsiaTheme="majorEastAsia" w:hAnsi="Times New Roman" w:cs="Times New Roman"/>
                <w:sz w:val="20"/>
                <w:szCs w:val="20"/>
                <w:lang w:eastAsia="hr-HR"/>
              </w:rPr>
              <w:lastRenderedPageBreak/>
              <w:t>udaljenija su i troškovno zahtjevnija</w:t>
            </w:r>
            <w:r w:rsidR="001D7EE2"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 većine naselja u drugim JLS-ima.</w:t>
            </w:r>
          </w:p>
          <w:p w14:paraId="356CC5B6" w14:textId="044CED4F" w:rsidR="00037FD5" w:rsidRDefault="00037FD5" w:rsidP="00AB1664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V</w:t>
            </w:r>
            <w:r w:rsidR="00AB1664" w:rsidRPr="00F475E7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ećina troškova pružanja usluge ne ovisi o području na kojem se usluga pruža. Sustav pružanja usluge organiziran je tako da svi</w:t>
            </w:r>
            <w:r w:rsidR="00AB166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AB1664" w:rsidRPr="00F475E7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korisnici ostvaruju jednak tretman, pri čemu davatelj usluge</w:t>
            </w:r>
            <w:r w:rsidR="00231A50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treba</w:t>
            </w:r>
            <w:r w:rsidR="00AB1664" w:rsidRPr="00F475E7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kontinuirano provodi</w:t>
            </w:r>
            <w:r w:rsidR="00231A50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ti</w:t>
            </w:r>
            <w:r w:rsidR="00AB1664" w:rsidRPr="00F475E7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mjere racionalizacije poslovanja radi smanjenja troškova. </w:t>
            </w:r>
            <w:r w:rsidR="00AB1664"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Stoga korisnici na području Grada Delnica </w:t>
            </w:r>
            <w:r w:rsidR="00AB1664" w:rsidRPr="00F475E7">
              <w:rPr>
                <w:rFonts w:ascii="Times New Roman" w:eastAsiaTheme="majorEastAsia" w:hAnsi="Times New Roman" w:cs="Times New Roman"/>
                <w:sz w:val="20"/>
                <w:szCs w:val="20"/>
                <w:lang w:eastAsia="hr-HR"/>
              </w:rPr>
              <w:t>ne plaćaju tuđe troškove</w:t>
            </w:r>
            <w:r w:rsidR="00AB1664"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već sudjeluju u zajedničkom sustavu čije se funkcioniranje ujedno temelji i na načelu jednake dostupnosti i načelu održivog gospodarenja otpadom</w:t>
            </w:r>
            <w:r w:rsidR="00AB166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</w:p>
          <w:p w14:paraId="41035AB6" w14:textId="77777777" w:rsidR="003C6253" w:rsidRDefault="003C6253" w:rsidP="00AB1664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54EB25F" w14:textId="7E7B9237" w:rsidR="00AB1664" w:rsidRDefault="00AB1664" w:rsidP="00AB1664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konkretnom slučaju  za Grad Delnice upitan je predloženi iznos povećanja cijene obvezne minimalne javne usluge od 98% za kategoriju kućanstv</w:t>
            </w:r>
            <w:r w:rsidR="00A5710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te 153% za kategoriju </w:t>
            </w:r>
            <w:r w:rsidR="00A5710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nije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kućanstv</w:t>
            </w:r>
            <w:r w:rsidR="00A5710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</w:t>
            </w:r>
            <w:r w:rsidR="00037F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ali ne i diferenciranje računa po pojedinim jedinicama lokalne samouprave</w:t>
            </w:r>
            <w:r w:rsidR="00A5710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</w:t>
            </w:r>
            <w:r w:rsidR="00037FD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obzirom na udaljenost.</w:t>
            </w:r>
          </w:p>
          <w:p w14:paraId="09BF815D" w14:textId="77777777" w:rsidR="008E6CBE" w:rsidRDefault="008E6CBE" w:rsidP="003D0150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FE857" w14:textId="3A8E8CE2" w:rsidR="00F0483C" w:rsidRDefault="003D0150" w:rsidP="003D0150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Primjedba na članak 4.</w:t>
            </w:r>
          </w:p>
          <w:p w14:paraId="1EB496F7" w14:textId="32E82B2F" w:rsidR="003D0150" w:rsidRPr="008E6CBE" w:rsidRDefault="003D0150" w:rsidP="00F0483C">
            <w:pPr>
              <w:pStyle w:val="Odlomakpopisa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 prihvaća</w:t>
            </w:r>
            <w:r w:rsidR="00EF04F2"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</w:t>
            </w:r>
          </w:p>
          <w:p w14:paraId="33ECB439" w14:textId="08C0EBB0" w:rsidR="00865FDD" w:rsidRPr="00F475E7" w:rsidRDefault="00865FDD" w:rsidP="003D0150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Predmetna izmjena članka 24. odnosi se  isključivo na ugovornu kaznu i usklađenje s odredbama čl.</w:t>
            </w:r>
            <w:r w:rsidR="007C0FA1"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72. stavka 2. zakona .</w:t>
            </w:r>
          </w:p>
          <w:p w14:paraId="6DC97FA3" w14:textId="163893E4" w:rsidR="00865FDD" w:rsidRDefault="00865FDD" w:rsidP="003D0150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Također, korisnici usluga koji </w:t>
            </w:r>
            <w:proofErr w:type="spellStart"/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kompostiraju</w:t>
            </w:r>
            <w:proofErr w:type="spellEnd"/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otpad nagrađuju se sukladno odredbi članka 16.  važeće Odluke.</w:t>
            </w:r>
          </w:p>
          <w:p w14:paraId="0020E0D4" w14:textId="77777777" w:rsidR="00BF0E55" w:rsidRDefault="00BF0E55" w:rsidP="003D0150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C6ED0" w14:textId="77777777" w:rsidR="00BF0E55" w:rsidRDefault="00BF0E55" w:rsidP="003D0150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64BFC" w14:textId="77777777" w:rsidR="00BF0E55" w:rsidRPr="00F475E7" w:rsidRDefault="00BF0E55" w:rsidP="003D0150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70156" w14:textId="77777777" w:rsidR="006227B4" w:rsidRDefault="00865FDD" w:rsidP="00865FD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Primjedba na članka 5. </w:t>
            </w:r>
          </w:p>
          <w:p w14:paraId="089EA1FC" w14:textId="5D28321A" w:rsidR="00865FDD" w:rsidRPr="008E6CBE" w:rsidRDefault="00EF04F2" w:rsidP="00865FD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865FDD"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</w:t>
            </w:r>
            <w:r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865FDD"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prihvaća</w:t>
            </w:r>
            <w:r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</w:t>
            </w:r>
          </w:p>
          <w:p w14:paraId="11EB9819" w14:textId="77777777" w:rsidR="00865FDD" w:rsidRDefault="00865FDD" w:rsidP="00865FD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Predložene izmj</w:t>
            </w:r>
            <w:r w:rsidR="0069079B" w:rsidRPr="00F475E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ne imaju isključivo </w:t>
            </w:r>
            <w:proofErr w:type="spellStart"/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normotehnički</w:t>
            </w:r>
            <w:proofErr w:type="spellEnd"/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karakter te se njima ne mijenja sadržaj niti pravni učinak važećih odredbi odluke</w:t>
            </w:r>
          </w:p>
          <w:p w14:paraId="425051D0" w14:textId="605CE3C8" w:rsidR="00A5710E" w:rsidRPr="00F475E7" w:rsidRDefault="00A5710E" w:rsidP="00865FD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161" w:rsidRPr="00DF5BC7" w14:paraId="7393E209" w14:textId="77777777" w:rsidTr="006227B4">
        <w:trPr>
          <w:trHeight w:val="713"/>
        </w:trPr>
        <w:tc>
          <w:tcPr>
            <w:tcW w:w="544" w:type="dxa"/>
          </w:tcPr>
          <w:p w14:paraId="4E8F4CC5" w14:textId="6F735264" w:rsidR="00264161" w:rsidRPr="00E738EC" w:rsidRDefault="0069079B" w:rsidP="00425C3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14:paraId="75404734" w14:textId="77777777" w:rsidR="00937E45" w:rsidRDefault="0069079B" w:rsidP="00425C3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FA1">
              <w:rPr>
                <w:rFonts w:ascii="Times New Roman" w:hAnsi="Times New Roman" w:cs="Times New Roman"/>
                <w:sz w:val="20"/>
                <w:szCs w:val="20"/>
              </w:rPr>
              <w:t>Vijećnici Gradskog vijeća Grada Delnica</w:t>
            </w:r>
          </w:p>
          <w:p w14:paraId="005E999D" w14:textId="77777777" w:rsidR="00937E45" w:rsidRDefault="0069079B" w:rsidP="00425C3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FA1">
              <w:rPr>
                <w:rFonts w:ascii="Times New Roman" w:hAnsi="Times New Roman" w:cs="Times New Roman"/>
                <w:sz w:val="20"/>
                <w:szCs w:val="20"/>
              </w:rPr>
              <w:t xml:space="preserve"> Davor </w:t>
            </w:r>
            <w:proofErr w:type="spellStart"/>
            <w:r w:rsidRPr="007C0FA1">
              <w:rPr>
                <w:rFonts w:ascii="Times New Roman" w:hAnsi="Times New Roman" w:cs="Times New Roman"/>
                <w:sz w:val="20"/>
                <w:szCs w:val="20"/>
              </w:rPr>
              <w:t>Hilak</w:t>
            </w:r>
            <w:proofErr w:type="spellEnd"/>
            <w:r w:rsidRPr="007C0FA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14:paraId="6A810A2A" w14:textId="3DF8799F" w:rsidR="00264161" w:rsidRPr="007C0FA1" w:rsidRDefault="0069079B" w:rsidP="00425C3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FA1">
              <w:rPr>
                <w:rFonts w:ascii="Times New Roman" w:hAnsi="Times New Roman" w:cs="Times New Roman"/>
                <w:sz w:val="20"/>
                <w:szCs w:val="20"/>
              </w:rPr>
              <w:t xml:space="preserve"> Ivana </w:t>
            </w:r>
            <w:proofErr w:type="spellStart"/>
            <w:r w:rsidRPr="007C0FA1">
              <w:rPr>
                <w:rFonts w:ascii="Times New Roman" w:hAnsi="Times New Roman" w:cs="Times New Roman"/>
                <w:sz w:val="20"/>
                <w:szCs w:val="20"/>
              </w:rPr>
              <w:t>Pečnik</w:t>
            </w:r>
            <w:proofErr w:type="spellEnd"/>
            <w:r w:rsidRPr="007C0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0FA1">
              <w:rPr>
                <w:rFonts w:ascii="Times New Roman" w:hAnsi="Times New Roman" w:cs="Times New Roman"/>
                <w:sz w:val="20"/>
                <w:szCs w:val="20"/>
              </w:rPr>
              <w:t>Kastner</w:t>
            </w:r>
            <w:proofErr w:type="spellEnd"/>
          </w:p>
        </w:tc>
        <w:tc>
          <w:tcPr>
            <w:tcW w:w="1418" w:type="dxa"/>
          </w:tcPr>
          <w:p w14:paraId="736FDCF9" w14:textId="77777777" w:rsidR="00264161" w:rsidRPr="00E738EC" w:rsidRDefault="00264161" w:rsidP="00425C3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14:paraId="5172960C" w14:textId="77777777" w:rsidR="00937E45" w:rsidRDefault="0069079B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937E45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  <w14:ligatures w14:val="standardContextual"/>
              </w:rPr>
              <w:t>Primjedba na članak 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.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, </w:t>
            </w:r>
          </w:p>
          <w:p w14:paraId="3495B65D" w14:textId="030427AC" w:rsidR="0069079B" w:rsidRDefault="0069079B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koji mijenja članak 14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.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, važeće Odluke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.</w:t>
            </w:r>
          </w:p>
          <w:p w14:paraId="7805F750" w14:textId="77777777" w:rsidR="00937E45" w:rsidRPr="0069079B" w:rsidRDefault="00937E45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C41A317" w14:textId="4359E823" w:rsidR="0069079B" w:rsidRPr="0069079B" w:rsidRDefault="0069079B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Smatramo da prijedlog povećanja pružanja javne usluge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sakupljanja komunalnog otpada na podru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ju grada Delnica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nije dovoljno ekonomski opravdan.</w:t>
            </w:r>
          </w:p>
          <w:p w14:paraId="06DD68B6" w14:textId="3431B448" w:rsidR="00264161" w:rsidRPr="0069079B" w:rsidRDefault="0069079B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Novi prijedlog: Jedini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na cijena treba ostati u iznosu kao i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do sada:</w:t>
            </w:r>
            <w:r w:rsidR="00C24C8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kategorija ku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anstvo 5,97 eura odnosno za korisnike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usluge razvrstanog u kategoriju korisnika koji nije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ku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anstvo 10,6l eura.</w:t>
            </w:r>
          </w:p>
          <w:p w14:paraId="2FA4CBCE" w14:textId="4737B7E1" w:rsidR="0069079B" w:rsidRPr="0069079B" w:rsidRDefault="0069079B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U obrazlo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enju Nacrta Prijedloga Odluke o II. izmjeni i dopuni Odluke o na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inu pru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anja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javne usluge sakupljanja komunalnog otpada na podru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ju Grada Delnica nije napravljena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detaljna analiza niti napisano konkretno obrazlo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enje zbog 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ega se cijene javnih usluga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pove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avaju u pogledu kategorije ku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anstvo s dosada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njih 5,97 eura na 11,82 eura, odnosno za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korisnika usluge razvrstanog u kategoriju korisnika koji nije ku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anstvo s dosada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njih 10,61eura na 26,86 eu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ra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.</w:t>
            </w:r>
          </w:p>
          <w:p w14:paraId="1E8C1655" w14:textId="2DFC5073" w:rsidR="0069079B" w:rsidRDefault="0069079B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Mi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ljenja s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m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o da s obzirom na inflaciju nije primjereno dodatno opteretiti gra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đ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ane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pove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anjem usluge sakupljanja komunalnog otpada. Pogotovo kada imamo u vidu da se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cijena goriva kao bitni element od 2023, godine do danas nije bitno mijenjala, te se kretala u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rasponu od 1.40 do 1.50 eura po lit</w:t>
            </w:r>
            <w:r w:rsidR="00F630C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ri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za dizel i benzin.</w:t>
            </w:r>
          </w:p>
          <w:p w14:paraId="16243C84" w14:textId="77777777" w:rsidR="00037FD5" w:rsidRDefault="00037FD5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D9DA7A3" w14:textId="77777777" w:rsidR="00037FD5" w:rsidRDefault="00037FD5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5E941B9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5E497DD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5AABC6C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B4C6339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2877C50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528802A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DA6EC8A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0975E6A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60F6FB3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F9BEE16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69DD836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AA53BB3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AF0D3BC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C27D283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85454E1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CD6400D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157381A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2A867BD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AC98530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3D97393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B32A499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345EFE9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43880E3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63D7007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F33968E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2C55703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61F1AA6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990952D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7000453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F9D4890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93282FF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4D2D7C7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F9BCFC4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080AA2F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2B1582B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BFB36C8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B2F89C0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1534426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F32A479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7976F8E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5C1CC170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BBE7923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2ECA6E2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1601D64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76E5145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9D62293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25CCB75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4D53368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E6347E3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10EFFE6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411B547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C5F5A11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01B2985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EC4D7F2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F0C4272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E017FDD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1F5AFD8A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7C288EB5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A7CC731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0406585E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D108FA6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21E1800F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FA4426A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0DCC042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861BA2D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C591364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97A7A50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C48119F" w14:textId="77777777" w:rsidR="00AC012E" w:rsidRDefault="00AC012E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B0C393A" w14:textId="77777777" w:rsidR="00037FD5" w:rsidRPr="0069079B" w:rsidRDefault="00037FD5" w:rsidP="00690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43A6380" w14:textId="77777777" w:rsidR="00BF0E55" w:rsidRDefault="00BF0E55" w:rsidP="00AC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3E96D867" w14:textId="77777777" w:rsidR="00BF0E55" w:rsidRDefault="00BF0E55" w:rsidP="00AC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4F4EE757" w14:textId="77777777" w:rsidR="00BF0E55" w:rsidRDefault="00BF0E55" w:rsidP="00AC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  <w:p w14:paraId="64309EEE" w14:textId="3BF8B545" w:rsidR="00AC012E" w:rsidRPr="0069079B" w:rsidRDefault="00AC012E" w:rsidP="00AC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Tako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đ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er napominjemo kako cijena obvezne minimalne javne usluge za korisnika kategorije</w:t>
            </w:r>
          </w:p>
          <w:p w14:paraId="384E05E0" w14:textId="77777777" w:rsidR="00AC012E" w:rsidRPr="0069079B" w:rsidRDefault="00AC012E" w:rsidP="00AC0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ku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anstvo i za korisnika koji nije ku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ć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anstvo ne smije biti jedinstvena na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itavom podru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č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ju</w:t>
            </w:r>
          </w:p>
          <w:p w14:paraId="257D35FE" w14:textId="24442E0E" w:rsidR="0069079B" w:rsidRPr="0069079B" w:rsidRDefault="00AC012E" w:rsidP="00AC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primjene, odnosno ne sla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ž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emo se da gra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đ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ani Grada Delnica kojima je pretovarna stanica u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 ne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posrednoj blizini snose tro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š</w:t>
            </w:r>
            <w:r w:rsidRPr="0069079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  <w14:ligatures w14:val="standardContextual"/>
              </w:rPr>
              <w:t>ak po principu solidarnosti.</w:t>
            </w:r>
          </w:p>
        </w:tc>
        <w:tc>
          <w:tcPr>
            <w:tcW w:w="2632" w:type="dxa"/>
          </w:tcPr>
          <w:p w14:paraId="0894C3A5" w14:textId="77777777" w:rsidR="00EF04F2" w:rsidRDefault="0069079B" w:rsidP="00425C3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Primjedba na članak 3.</w:t>
            </w:r>
          </w:p>
          <w:p w14:paraId="2977694B" w14:textId="4472CBE0" w:rsidR="00264161" w:rsidRPr="00F475E7" w:rsidRDefault="0069079B" w:rsidP="00425C3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F04F2"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jelom</w:t>
            </w:r>
            <w:r w:rsid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ično</w:t>
            </w:r>
            <w:r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 prihvaća</w:t>
            </w:r>
          </w:p>
          <w:p w14:paraId="1765E522" w14:textId="12B4FDA1" w:rsidR="006227B4" w:rsidRDefault="00DF5BC7" w:rsidP="00DF5BC7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</w:t>
            </w:r>
            <w:r w:rsidR="00937E4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</w:t>
            </w: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ladno članku 76. stavak 1. Zakona i članku 13. važeće Odluke, obvezna minimalna javna usluga je iznos koji se osigurava radi ekonomski održivog poslovanja te sigurnosti, redovitosti i kvalitete pružanja javne usluge, kako bi sustav sakupljanja komunalnog otpada mogao ispuniti svoju svrhu. U izračun cijene obvezne minimalne javne usluge uzeti su u obzir troškovi sakupljanja komunalnog otpada, te ukupan broj korisnika usluge na cijelom području na kojem djeluje davatelj usluge.</w:t>
            </w:r>
          </w:p>
          <w:p w14:paraId="08D442D2" w14:textId="77777777" w:rsidR="006227B4" w:rsidRDefault="00DF5BC7" w:rsidP="00DF5BC7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Cijena obvezne minimalne javne usluge uključuje troškove obavljanja sljedećih usluga (sukladno članku 80. Zakona): sakupljanje i odvoz miješanog i biorazgradivog komunalnog otpada s obračunskog mjesta korisnika, sakupljanje i odvoz </w:t>
            </w:r>
            <w:proofErr w:type="spellStart"/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reciklabilnog</w:t>
            </w:r>
            <w:proofErr w:type="spellEnd"/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komunalnog otpada s obračunskog mjesta korisnika, sakupljanje i odvoz glomaznog (krupnog) komunalnog otpada jednom godišnje (samo za korisnike kategorije kućanstvo) s obračunskog mjesta korisnika, preuzimanje komunalnog otpada u </w:t>
            </w:r>
            <w:proofErr w:type="spellStart"/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reciklažnom</w:t>
            </w:r>
            <w:proofErr w:type="spellEnd"/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dvorištu i u izdvojenim spremnicima za odvojeno sakupljanje otpada.</w:t>
            </w:r>
          </w:p>
          <w:p w14:paraId="6A867B89" w14:textId="77777777" w:rsidR="006227B4" w:rsidRDefault="00DF5BC7" w:rsidP="00DF5BC7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Navedene usluge obuhvaćaju materijalne troškove (osnovni </w:t>
            </w: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 uredski materijal, električnu energiju, gorivo, mazivo, sitni inventar, auto gume i slično), troškove usluga (poštarine, telekomunikacije, tekućeg održavanja, najma opreme, režijske troškove, financijske rashode, premije osiguranja, registracije i tehničke preglede i slično), nematerijalne troškove (prijevoz radnika, topli obrok i nagrade, otpremnine, pomoći), troškove plaća radnika, troškove amortizacije, troškove nabave i održavanja opreme za prikupljanje i obradu otpada te troškove vođenja propisanih evidencija i izvještavanja (zakonski i regulatorni troškovi).</w:t>
            </w:r>
          </w:p>
          <w:p w14:paraId="203A725E" w14:textId="77777777" w:rsidR="006227B4" w:rsidRDefault="00DF5BC7" w:rsidP="00DF5BC7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Prethodno navedeni troškovi raspoređuju se na način da se dijele na korisnike usluge kućanstvo i korisnike usluge koji nisu kućanstvo, srazmjerno opterećenju sustava koji pojedina kategorija ima na sustav sakupljanja komunalnog otpada. Tako dobiveni iznosi dijele se na broj korisnika pojedine kategorije.</w:t>
            </w:r>
          </w:p>
          <w:p w14:paraId="744EBF71" w14:textId="443E2C68" w:rsidR="00DF5BC7" w:rsidRPr="00F475E7" w:rsidRDefault="00DF5BC7" w:rsidP="00DF5BC7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Nadalje, važeća cijena obvezne minimalne javne usluge, određena je na bazi troškova iz 2021. godine, a primjenjuje se od 1. travnja 2023. godine. Od tada je došlo do značajnijeg povećanja svih</w:t>
            </w:r>
            <w:r w:rsidR="000A7384"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navedenih troškova, a posebno troškova rada, zbrinjavanja </w:t>
            </w:r>
            <w:proofErr w:type="spellStart"/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reciklabilnog</w:t>
            </w:r>
            <w:proofErr w:type="spellEnd"/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komunalnog otpada kao i troškova zbrinjavanja glomaznog otpada</w:t>
            </w:r>
            <w:r w:rsidR="00EF04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0A7384"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F475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Uzevši u obzir prethodno navedeno,  neminovno je da se, kao posljedica istoga, nameće i povećanje cijena davatelja javne usluge.</w:t>
            </w:r>
          </w:p>
          <w:p w14:paraId="2C70C24A" w14:textId="103BF08C" w:rsidR="00DF5BC7" w:rsidRDefault="00DF5BC7" w:rsidP="00DF5BC7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>Slijedom navedenog</w:t>
            </w:r>
            <w:r w:rsidR="006227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04F2">
              <w:rPr>
                <w:rFonts w:ascii="Times New Roman" w:hAnsi="Times New Roman" w:cs="Times New Roman"/>
                <w:sz w:val="20"/>
                <w:szCs w:val="20"/>
              </w:rPr>
              <w:t>daljn</w:t>
            </w:r>
            <w:r w:rsidR="00092402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EF04F2">
              <w:rPr>
                <w:rFonts w:ascii="Times New Roman" w:hAnsi="Times New Roman" w:cs="Times New Roman"/>
                <w:sz w:val="20"/>
                <w:szCs w:val="20"/>
              </w:rPr>
              <w:t xml:space="preserve">e obrazloženje djelomičnog prihvaćanja povećanja </w:t>
            </w:r>
            <w:r w:rsidR="00CB644E">
              <w:rPr>
                <w:rFonts w:ascii="Times New Roman" w:hAnsi="Times New Roman" w:cs="Times New Roman"/>
                <w:sz w:val="20"/>
                <w:szCs w:val="20"/>
              </w:rPr>
              <w:t xml:space="preserve">cijene </w:t>
            </w:r>
            <w:r w:rsidR="00EF04F2">
              <w:rPr>
                <w:rFonts w:ascii="Times New Roman" w:hAnsi="Times New Roman" w:cs="Times New Roman"/>
                <w:sz w:val="20"/>
                <w:szCs w:val="20"/>
              </w:rPr>
              <w:t xml:space="preserve">ali ne u </w:t>
            </w:r>
            <w:r w:rsidR="00092402">
              <w:rPr>
                <w:rFonts w:ascii="Times New Roman" w:hAnsi="Times New Roman" w:cs="Times New Roman"/>
                <w:sz w:val="20"/>
                <w:szCs w:val="20"/>
              </w:rPr>
              <w:t xml:space="preserve">punom </w:t>
            </w:r>
            <w:r w:rsidR="00EF04F2">
              <w:rPr>
                <w:rFonts w:ascii="Times New Roman" w:hAnsi="Times New Roman" w:cs="Times New Roman"/>
                <w:sz w:val="20"/>
                <w:szCs w:val="20"/>
              </w:rPr>
              <w:t xml:space="preserve">traženom </w:t>
            </w:r>
            <w:r w:rsidR="00EF0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iznosu, </w:t>
            </w:r>
            <w:r w:rsidR="00BF0E55">
              <w:rPr>
                <w:rFonts w:ascii="Times New Roman" w:hAnsi="Times New Roman" w:cs="Times New Roman"/>
                <w:sz w:val="20"/>
                <w:szCs w:val="20"/>
              </w:rPr>
              <w:t>obrazloženo u</w:t>
            </w:r>
            <w:r w:rsidR="00CB644E">
              <w:rPr>
                <w:rFonts w:ascii="Times New Roman" w:hAnsi="Times New Roman" w:cs="Times New Roman"/>
                <w:sz w:val="20"/>
                <w:szCs w:val="20"/>
              </w:rPr>
              <w:t xml:space="preserve"> prethodnom odgovoru</w:t>
            </w:r>
            <w:r w:rsidR="00BF0E55">
              <w:rPr>
                <w:rFonts w:ascii="Times New Roman" w:hAnsi="Times New Roman" w:cs="Times New Roman"/>
                <w:sz w:val="20"/>
                <w:szCs w:val="20"/>
              </w:rPr>
              <w:t xml:space="preserve"> vezanom za isti članak</w:t>
            </w:r>
            <w:r w:rsidR="00231A50">
              <w:rPr>
                <w:rFonts w:ascii="Times New Roman" w:hAnsi="Times New Roman" w:cs="Times New Roman"/>
                <w:sz w:val="20"/>
                <w:szCs w:val="20"/>
              </w:rPr>
              <w:t xml:space="preserve"> Odluke</w:t>
            </w:r>
            <w:r w:rsidR="00D22FE5">
              <w:rPr>
                <w:rFonts w:ascii="Times New Roman" w:hAnsi="Times New Roman" w:cs="Times New Roman"/>
                <w:sz w:val="20"/>
                <w:szCs w:val="20"/>
              </w:rPr>
              <w:t xml:space="preserve"> i primjedbu.</w:t>
            </w:r>
          </w:p>
          <w:p w14:paraId="41F6F8EB" w14:textId="77777777" w:rsidR="00BF0E55" w:rsidRPr="00F475E7" w:rsidRDefault="00BF0E55" w:rsidP="00DF5BC7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4AF2B" w14:textId="2F110D37" w:rsidR="00DF5BC7" w:rsidRPr="008E6CBE" w:rsidRDefault="008E6CBE" w:rsidP="00DF5BC7">
            <w:pPr>
              <w:pStyle w:val="Odlomakpopisa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0A7384"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r w:rsidR="00DF5BC7"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prihvaća </w:t>
            </w:r>
            <w:r w:rsidR="000A7384" w:rsidRPr="008E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</w:t>
            </w:r>
          </w:p>
          <w:p w14:paraId="21255A71" w14:textId="472B519D" w:rsidR="00F630C8" w:rsidRDefault="00BF0E55" w:rsidP="006227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</w:t>
            </w:r>
            <w:r w:rsidR="002F2E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razloženo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prethodnom odgovoru vezanom za isti članak</w:t>
            </w:r>
            <w:r w:rsidR="00231A5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Odluke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primjedbu</w:t>
            </w:r>
          </w:p>
          <w:p w14:paraId="1CEA0E5F" w14:textId="77777777" w:rsidR="00AC012E" w:rsidRDefault="00AC012E" w:rsidP="006227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992BE69" w14:textId="77777777" w:rsidR="00AC012E" w:rsidRDefault="00AC012E" w:rsidP="006227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2DBD9EE" w14:textId="77777777" w:rsidR="00AC012E" w:rsidRDefault="00AC012E" w:rsidP="006227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F8D1CBA" w14:textId="57D0DE2C" w:rsidR="00AC012E" w:rsidRPr="00F475E7" w:rsidRDefault="00AC012E" w:rsidP="006227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161" w:rsidRPr="00E738EC" w14:paraId="5F31D011" w14:textId="77777777" w:rsidTr="004F04DD">
        <w:trPr>
          <w:trHeight w:val="567"/>
        </w:trPr>
        <w:tc>
          <w:tcPr>
            <w:tcW w:w="544" w:type="dxa"/>
          </w:tcPr>
          <w:p w14:paraId="0B5364A4" w14:textId="77777777" w:rsidR="00264161" w:rsidRPr="00E738EC" w:rsidRDefault="00264161" w:rsidP="00425C3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489450" w14:textId="77777777" w:rsidR="00264161" w:rsidRPr="00E738EC" w:rsidRDefault="00264161" w:rsidP="00425C3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6E8566" w14:textId="77777777" w:rsidR="00264161" w:rsidRPr="00E738EC" w:rsidRDefault="00264161" w:rsidP="00425C3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14:paraId="7B0066B4" w14:textId="77777777" w:rsidR="00264161" w:rsidRPr="00E738EC" w:rsidRDefault="00264161" w:rsidP="00425C3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97100A0" w14:textId="77777777" w:rsidR="00264161" w:rsidRPr="00E738EC" w:rsidRDefault="00264161" w:rsidP="00425C3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5C96C1EC" w14:textId="77777777" w:rsidR="002B2A75" w:rsidRDefault="002B2A75" w:rsidP="006227B4"/>
    <w:sectPr w:rsidR="002B2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6E85"/>
    <w:multiLevelType w:val="hybridMultilevel"/>
    <w:tmpl w:val="0CE4E076"/>
    <w:lvl w:ilvl="0" w:tplc="E676F094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36E46"/>
    <w:multiLevelType w:val="hybridMultilevel"/>
    <w:tmpl w:val="8F74F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34F34"/>
    <w:multiLevelType w:val="hybridMultilevel"/>
    <w:tmpl w:val="EFF295AA"/>
    <w:lvl w:ilvl="0" w:tplc="B4C80012">
      <w:numFmt w:val="bullet"/>
      <w:lvlText w:val="–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92796037">
    <w:abstractNumId w:val="1"/>
  </w:num>
  <w:num w:numId="2" w16cid:durableId="28190237">
    <w:abstractNumId w:val="0"/>
  </w:num>
  <w:num w:numId="3" w16cid:durableId="719087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61"/>
    <w:rsid w:val="0001669F"/>
    <w:rsid w:val="00027705"/>
    <w:rsid w:val="00037FD5"/>
    <w:rsid w:val="00075F84"/>
    <w:rsid w:val="00092402"/>
    <w:rsid w:val="000A7384"/>
    <w:rsid w:val="00121DD0"/>
    <w:rsid w:val="00167938"/>
    <w:rsid w:val="0019722A"/>
    <w:rsid w:val="001D7EE2"/>
    <w:rsid w:val="00231A50"/>
    <w:rsid w:val="00264161"/>
    <w:rsid w:val="002B2A75"/>
    <w:rsid w:val="002C100C"/>
    <w:rsid w:val="002C44BC"/>
    <w:rsid w:val="002F2E55"/>
    <w:rsid w:val="003C6253"/>
    <w:rsid w:val="003D0150"/>
    <w:rsid w:val="00401C36"/>
    <w:rsid w:val="004A26EB"/>
    <w:rsid w:val="004F04DD"/>
    <w:rsid w:val="00531FC3"/>
    <w:rsid w:val="00547933"/>
    <w:rsid w:val="005A2050"/>
    <w:rsid w:val="005C36BB"/>
    <w:rsid w:val="006227B4"/>
    <w:rsid w:val="006750AD"/>
    <w:rsid w:val="0069079B"/>
    <w:rsid w:val="007C0FA1"/>
    <w:rsid w:val="008104E7"/>
    <w:rsid w:val="00865FDD"/>
    <w:rsid w:val="008E6CBE"/>
    <w:rsid w:val="00937E45"/>
    <w:rsid w:val="00942C94"/>
    <w:rsid w:val="009C6E53"/>
    <w:rsid w:val="00A518EF"/>
    <w:rsid w:val="00A5710E"/>
    <w:rsid w:val="00AA725A"/>
    <w:rsid w:val="00AB1664"/>
    <w:rsid w:val="00AC012E"/>
    <w:rsid w:val="00B34D84"/>
    <w:rsid w:val="00B54D54"/>
    <w:rsid w:val="00B90984"/>
    <w:rsid w:val="00BF0E55"/>
    <w:rsid w:val="00BF2623"/>
    <w:rsid w:val="00BF360E"/>
    <w:rsid w:val="00C21C40"/>
    <w:rsid w:val="00C24C82"/>
    <w:rsid w:val="00C33A33"/>
    <w:rsid w:val="00CB644E"/>
    <w:rsid w:val="00D22FE5"/>
    <w:rsid w:val="00DB2125"/>
    <w:rsid w:val="00DF5BC7"/>
    <w:rsid w:val="00E271A7"/>
    <w:rsid w:val="00E83824"/>
    <w:rsid w:val="00E93414"/>
    <w:rsid w:val="00EF04F2"/>
    <w:rsid w:val="00F02ACC"/>
    <w:rsid w:val="00F0483C"/>
    <w:rsid w:val="00F475E7"/>
    <w:rsid w:val="00F630C8"/>
    <w:rsid w:val="00FB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5C89"/>
  <w15:chartTrackingRefBased/>
  <w15:docId w15:val="{9E419228-2373-46E9-80B0-77DCC033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161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641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41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41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41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41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41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41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41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41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4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4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4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41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41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41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41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41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41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4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6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416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64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416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641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416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641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4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41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4161"/>
    <w:rPr>
      <w:b/>
      <w:bCs/>
      <w:smallCaps/>
      <w:color w:val="0F4761" w:themeColor="accent1" w:themeShade="BF"/>
      <w:spacing w:val="5"/>
    </w:rPr>
  </w:style>
  <w:style w:type="paragraph" w:styleId="Opisslike">
    <w:name w:val="caption"/>
    <w:basedOn w:val="Normal"/>
    <w:next w:val="Normal"/>
    <w:uiPriority w:val="35"/>
    <w:qFormat/>
    <w:rsid w:val="00264161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Naglaeno">
    <w:name w:val="Strong"/>
    <w:basedOn w:val="Zadanifontodlomka"/>
    <w:uiPriority w:val="22"/>
    <w:qFormat/>
    <w:rsid w:val="009C6E53"/>
    <w:rPr>
      <w:b/>
      <w:bCs/>
    </w:rPr>
  </w:style>
  <w:style w:type="paragraph" w:styleId="Bezproreda">
    <w:name w:val="No Spacing"/>
    <w:uiPriority w:val="1"/>
    <w:qFormat/>
    <w:rsid w:val="000A7384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D11C3-7040-4407-9B40-CEC18304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10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Kajfeš</dc:creator>
  <cp:keywords/>
  <dc:description/>
  <cp:lastModifiedBy>Goranka Kajfeš</cp:lastModifiedBy>
  <cp:revision>12</cp:revision>
  <cp:lastPrinted>2025-12-05T08:16:00Z</cp:lastPrinted>
  <dcterms:created xsi:type="dcterms:W3CDTF">2025-12-02T08:30:00Z</dcterms:created>
  <dcterms:modified xsi:type="dcterms:W3CDTF">2025-12-08T06:33:00Z</dcterms:modified>
</cp:coreProperties>
</file>