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1406" w14:textId="77777777" w:rsidR="002601B1" w:rsidRDefault="002601B1" w:rsidP="002601B1">
      <w:pPr>
        <w:autoSpaceDE w:val="0"/>
        <w:autoSpaceDN w:val="0"/>
        <w:adjustRightInd w:val="0"/>
        <w:rPr>
          <w:b/>
          <w:bCs/>
          <w:sz w:val="24"/>
          <w:szCs w:val="24"/>
        </w:rPr>
      </w:pPr>
      <w:r>
        <w:rPr>
          <w:b/>
          <w:bCs/>
          <w:sz w:val="24"/>
          <w:szCs w:val="24"/>
        </w:rPr>
        <w:t>I. OSNOVA ZA DONOŠENJE ODLUKE</w:t>
      </w:r>
    </w:p>
    <w:p w14:paraId="6D5A1C4B" w14:textId="7910E88E" w:rsidR="002601B1" w:rsidRDefault="002601B1" w:rsidP="002601B1">
      <w:pPr>
        <w:jc w:val="both"/>
        <w:rPr>
          <w:sz w:val="24"/>
          <w:szCs w:val="24"/>
        </w:rPr>
      </w:pPr>
      <w:r>
        <w:rPr>
          <w:sz w:val="24"/>
          <w:szCs w:val="24"/>
        </w:rPr>
        <w:t>Zakonska osnova za donošenje ove Odluke sadržana je odredbi članka 10. stavka 3. Zakona o financiranju političkih aktivnosti, izborne promidžbe i referenduma („Narodne novine“ 29/19</w:t>
      </w:r>
      <w:r w:rsidR="00BC7304">
        <w:rPr>
          <w:sz w:val="24"/>
          <w:szCs w:val="24"/>
        </w:rPr>
        <w:t>,</w:t>
      </w:r>
      <w:r>
        <w:rPr>
          <w:sz w:val="24"/>
          <w:szCs w:val="24"/>
        </w:rPr>
        <w:t xml:space="preserve"> 98/19), a koji je na snazi od 1.1.2020. godine.</w:t>
      </w:r>
    </w:p>
    <w:p w14:paraId="34FC5B96" w14:textId="77777777" w:rsidR="002601B1" w:rsidRDefault="002601B1" w:rsidP="002601B1">
      <w:pPr>
        <w:jc w:val="both"/>
        <w:rPr>
          <w:sz w:val="24"/>
          <w:szCs w:val="24"/>
        </w:rPr>
      </w:pPr>
    </w:p>
    <w:p w14:paraId="50526A86" w14:textId="77777777" w:rsidR="002601B1" w:rsidRDefault="002601B1" w:rsidP="002601B1">
      <w:pPr>
        <w:jc w:val="both"/>
        <w:rPr>
          <w:b/>
          <w:sz w:val="24"/>
          <w:szCs w:val="24"/>
        </w:rPr>
      </w:pPr>
      <w:r>
        <w:rPr>
          <w:b/>
          <w:sz w:val="24"/>
          <w:szCs w:val="24"/>
        </w:rPr>
        <w:t xml:space="preserve">II. OCJENA STANJA, OSNOVNA PITANJA KOJA SE TREBAJU UREDITI I SVRHA KOJA SE ŽELI POSTIĆI DONOŠENJEM AKTA </w:t>
      </w:r>
    </w:p>
    <w:p w14:paraId="04CD7924" w14:textId="36613558" w:rsidR="002601B1" w:rsidRDefault="002601B1" w:rsidP="002601B1">
      <w:pPr>
        <w:jc w:val="both"/>
        <w:rPr>
          <w:sz w:val="24"/>
          <w:szCs w:val="24"/>
        </w:rPr>
      </w:pPr>
      <w:r>
        <w:rPr>
          <w:sz w:val="24"/>
          <w:szCs w:val="24"/>
        </w:rPr>
        <w:t xml:space="preserve">Člankom 4. stavkom 3. Zakona o financiranju političkih aktivnosti, izborne promidžbe i referenduma </w:t>
      </w:r>
      <w:r w:rsidR="00BC7304">
        <w:rPr>
          <w:sz w:val="24"/>
          <w:szCs w:val="24"/>
        </w:rPr>
        <w:t>(„Narodne novine“ 29/19, 98/19</w:t>
      </w:r>
      <w:r>
        <w:rPr>
          <w:sz w:val="24"/>
          <w:szCs w:val="24"/>
        </w:rPr>
        <w:t>)</w:t>
      </w:r>
      <w:r w:rsidR="00BC7304">
        <w:rPr>
          <w:sz w:val="24"/>
          <w:szCs w:val="24"/>
        </w:rPr>
        <w:t xml:space="preserve">, </w:t>
      </w:r>
      <w:r>
        <w:rPr>
          <w:sz w:val="24"/>
          <w:szCs w:val="24"/>
        </w:rPr>
        <w:t>dalje: Zakon</w:t>
      </w:r>
      <w:r w:rsidR="00BC7304">
        <w:rPr>
          <w:sz w:val="24"/>
          <w:szCs w:val="24"/>
        </w:rPr>
        <w:t>,</w:t>
      </w:r>
      <w:r>
        <w:rPr>
          <w:sz w:val="24"/>
          <w:szCs w:val="24"/>
        </w:rPr>
        <w:t xml:space="preserve"> propisano je da se političke stranke i nezavisni vijećnici mogu financirati iz proračuna jedinica samouprave na način i pod uvjetima utvrđenim Zakonom, isključivo za ostvarenje ciljeva utvrđenih programom rada i financijskim planom. Člankom 10. stavkom 3. Zakona određeno je da odluku o raspoređivanju sredstava iz proračuna jedinice samouprave donosi predstavničko tijelo jedinice lokalne samouprave. Pravo na redovito godišnje financiranje iz sredstava proračuna jedinice lokalne samouprave imaju političke stranke koje su prema konačnim rezultatima izbora dobile mjesto člana u predstavničkom tijelu i nezavisni vijećnici. Raspoređena sredstva doznačuju se na žiroračun političke stranke, odnosno na poseban račun nezavisnog vijećnika, tromjesečno, u jednakim iznosima, odnosno ako se početak ili završetak mandata ne poklapaju s početkom ili završetkom tromjesečja, u tom se tromjesečju isplaćuje iznos razmjeran broju dana trajanja mandata.</w:t>
      </w:r>
    </w:p>
    <w:p w14:paraId="59AD011D" w14:textId="77777777" w:rsidR="002601B1" w:rsidRDefault="002601B1" w:rsidP="002601B1">
      <w:pPr>
        <w:pStyle w:val="Bezproreda"/>
        <w:jc w:val="both"/>
        <w:rPr>
          <w:i/>
          <w:sz w:val="22"/>
          <w:szCs w:val="22"/>
          <w:lang w:val="hr-HR"/>
        </w:rPr>
      </w:pPr>
    </w:p>
    <w:p w14:paraId="5D10A7B9" w14:textId="77777777" w:rsidR="002601B1" w:rsidRDefault="002601B1" w:rsidP="002601B1">
      <w:pPr>
        <w:jc w:val="both"/>
        <w:rPr>
          <w:b/>
          <w:sz w:val="24"/>
          <w:szCs w:val="24"/>
        </w:rPr>
      </w:pPr>
      <w:r>
        <w:rPr>
          <w:b/>
          <w:sz w:val="24"/>
          <w:szCs w:val="24"/>
        </w:rPr>
        <w:t>III. UVJETI ZA FINANCIRANJE I RASPORED SREDSTAVA</w:t>
      </w:r>
    </w:p>
    <w:p w14:paraId="62FF5D84" w14:textId="1E793547" w:rsidR="002601B1" w:rsidRDefault="002601B1" w:rsidP="002601B1">
      <w:pPr>
        <w:autoSpaceDE w:val="0"/>
        <w:autoSpaceDN w:val="0"/>
        <w:adjustRightInd w:val="0"/>
        <w:jc w:val="both"/>
        <w:rPr>
          <w:sz w:val="24"/>
          <w:szCs w:val="24"/>
        </w:rPr>
      </w:pPr>
      <w:r>
        <w:rPr>
          <w:sz w:val="24"/>
          <w:szCs w:val="24"/>
        </w:rPr>
        <w:t>U proračunu Grada Delnica za 202</w:t>
      </w:r>
      <w:r w:rsidR="00BC7304">
        <w:rPr>
          <w:sz w:val="24"/>
          <w:szCs w:val="24"/>
        </w:rPr>
        <w:t>6</w:t>
      </w:r>
      <w:r>
        <w:rPr>
          <w:sz w:val="24"/>
          <w:szCs w:val="24"/>
        </w:rPr>
        <w:t>. godinu, planirana su sredstva za financiranje političkih stranaka i vijećnika izabranih s lista grupe birača zastupljenih u Gradskom vijeću Grada Delnica (u daljnjem tekstu: Gradsko vijeće) u ukupnom iznosu od 3.5</w:t>
      </w:r>
      <w:r w:rsidR="00BC7304">
        <w:rPr>
          <w:sz w:val="24"/>
          <w:szCs w:val="24"/>
        </w:rPr>
        <w:t>65</w:t>
      </w:r>
      <w:r>
        <w:rPr>
          <w:sz w:val="24"/>
          <w:szCs w:val="24"/>
        </w:rPr>
        <w:t xml:space="preserve">,00 eura. </w:t>
      </w:r>
    </w:p>
    <w:p w14:paraId="5A870755" w14:textId="77777777" w:rsidR="002601B1" w:rsidRDefault="002601B1" w:rsidP="002601B1">
      <w:pPr>
        <w:autoSpaceDE w:val="0"/>
        <w:autoSpaceDN w:val="0"/>
        <w:adjustRightInd w:val="0"/>
        <w:jc w:val="both"/>
        <w:rPr>
          <w:sz w:val="24"/>
          <w:szCs w:val="24"/>
        </w:rPr>
      </w:pPr>
      <w:r>
        <w:rPr>
          <w:sz w:val="24"/>
          <w:szCs w:val="24"/>
        </w:rPr>
        <w:t>Sredstva se ovom odlukom, kao i ranijom, raspoređuju na način da se utvrđuje jednaki iznos sredstava za svakog člana Gradskog vijeća tako da pojedinoj političkoj stranci i listi grupe birača, u skladu sa Zakonom, pripadaju sredstva razmjerno broju njenih članova.</w:t>
      </w:r>
    </w:p>
    <w:p w14:paraId="09313B46" w14:textId="77777777" w:rsidR="002601B1" w:rsidRDefault="002601B1" w:rsidP="002601B1">
      <w:pPr>
        <w:autoSpaceDE w:val="0"/>
        <w:autoSpaceDN w:val="0"/>
        <w:adjustRightInd w:val="0"/>
        <w:jc w:val="both"/>
        <w:rPr>
          <w:sz w:val="24"/>
          <w:szCs w:val="24"/>
        </w:rPr>
      </w:pPr>
      <w:r>
        <w:rPr>
          <w:sz w:val="24"/>
          <w:szCs w:val="24"/>
        </w:rPr>
        <w:t>Političkim strankama i listi grupe birača pripada i pravo na naknadu za svakog izabranog člana Gradskog vijeća podzastupljenog spola, tako da se 10% ukupnog iznosa sredstava raspoređuje na način da pojedinoj političkoj stranci i listi grupe birača pripadaju sredstva razmjerno broju njenih izabranih članova Gradskog vijeća podzastupljenog spola.</w:t>
      </w:r>
    </w:p>
    <w:p w14:paraId="40BB956A" w14:textId="77777777" w:rsidR="002601B1" w:rsidRDefault="002601B1" w:rsidP="002601B1">
      <w:pPr>
        <w:autoSpaceDE w:val="0"/>
        <w:autoSpaceDN w:val="0"/>
        <w:adjustRightInd w:val="0"/>
        <w:jc w:val="both"/>
        <w:rPr>
          <w:sz w:val="24"/>
          <w:szCs w:val="24"/>
        </w:rPr>
      </w:pPr>
    </w:p>
    <w:p w14:paraId="775FEB0E" w14:textId="77777777" w:rsidR="002601B1" w:rsidRDefault="002601B1" w:rsidP="002601B1">
      <w:pPr>
        <w:autoSpaceDE w:val="0"/>
        <w:autoSpaceDN w:val="0"/>
        <w:adjustRightInd w:val="0"/>
        <w:rPr>
          <w:b/>
          <w:bCs/>
          <w:sz w:val="24"/>
          <w:szCs w:val="24"/>
        </w:rPr>
      </w:pPr>
      <w:r>
        <w:rPr>
          <w:b/>
          <w:bCs/>
          <w:sz w:val="24"/>
          <w:szCs w:val="24"/>
        </w:rPr>
        <w:t>IV. OCJENA POTREBNIH SREDSTAVA ZA PROVEDBU ODLUKE</w:t>
      </w:r>
    </w:p>
    <w:p w14:paraId="35C97957" w14:textId="1753C0FE" w:rsidR="002601B1" w:rsidRDefault="002601B1" w:rsidP="002601B1">
      <w:pPr>
        <w:autoSpaceDE w:val="0"/>
        <w:autoSpaceDN w:val="0"/>
        <w:adjustRightInd w:val="0"/>
        <w:jc w:val="both"/>
        <w:rPr>
          <w:sz w:val="24"/>
          <w:szCs w:val="24"/>
        </w:rPr>
      </w:pPr>
      <w:r>
        <w:rPr>
          <w:sz w:val="24"/>
          <w:szCs w:val="24"/>
        </w:rPr>
        <w:t>U proračunu Grada Delnica za 202</w:t>
      </w:r>
      <w:r w:rsidR="00BC7304">
        <w:rPr>
          <w:sz w:val="24"/>
          <w:szCs w:val="24"/>
        </w:rPr>
        <w:t>6</w:t>
      </w:r>
      <w:r>
        <w:rPr>
          <w:sz w:val="24"/>
          <w:szCs w:val="24"/>
        </w:rPr>
        <w:t>. godinu ukupno su osigurana sredstva za rad političkih stranaka i vijećnika izabranih s liste grupe birača zastupljenih u Gradskom vijeću u iznosu od 3.5</w:t>
      </w:r>
      <w:r w:rsidR="00BC7304">
        <w:rPr>
          <w:sz w:val="24"/>
          <w:szCs w:val="24"/>
        </w:rPr>
        <w:t>65</w:t>
      </w:r>
      <w:r>
        <w:rPr>
          <w:sz w:val="24"/>
          <w:szCs w:val="24"/>
        </w:rPr>
        <w:t>,00 eura.</w:t>
      </w:r>
    </w:p>
    <w:p w14:paraId="316C664C" w14:textId="77777777" w:rsidR="002601B1" w:rsidRDefault="002601B1" w:rsidP="00E9192A">
      <w:pPr>
        <w:pStyle w:val="Tijeloteksta"/>
        <w:rPr>
          <w:sz w:val="24"/>
          <w:szCs w:val="24"/>
        </w:rPr>
      </w:pPr>
    </w:p>
    <w:p w14:paraId="79D4BE6C" w14:textId="77777777" w:rsidR="002601B1" w:rsidRDefault="002601B1" w:rsidP="00E9192A">
      <w:pPr>
        <w:pStyle w:val="Tijeloteksta"/>
        <w:rPr>
          <w:sz w:val="24"/>
          <w:szCs w:val="24"/>
        </w:rPr>
      </w:pPr>
    </w:p>
    <w:p w14:paraId="438B00D0" w14:textId="77777777" w:rsidR="002601B1" w:rsidRDefault="002601B1" w:rsidP="00E9192A">
      <w:pPr>
        <w:pStyle w:val="Tijeloteksta"/>
        <w:rPr>
          <w:sz w:val="24"/>
          <w:szCs w:val="24"/>
        </w:rPr>
      </w:pPr>
    </w:p>
    <w:p w14:paraId="2896A221" w14:textId="77777777" w:rsidR="002601B1" w:rsidRDefault="002601B1" w:rsidP="00E9192A">
      <w:pPr>
        <w:pStyle w:val="Tijeloteksta"/>
        <w:rPr>
          <w:sz w:val="24"/>
          <w:szCs w:val="24"/>
        </w:rPr>
      </w:pPr>
    </w:p>
    <w:p w14:paraId="6E8F0612" w14:textId="6F111B35" w:rsidR="00BC7304" w:rsidRDefault="00CF05D6" w:rsidP="00CF05D6">
      <w:pPr>
        <w:pStyle w:val="Tijeloteksta"/>
        <w:ind w:left="5664" w:firstLine="708"/>
        <w:rPr>
          <w:sz w:val="24"/>
          <w:szCs w:val="24"/>
        </w:rPr>
      </w:pPr>
      <w:r>
        <w:rPr>
          <w:sz w:val="24"/>
          <w:szCs w:val="24"/>
        </w:rPr>
        <w:t>SAVJETNICA</w:t>
      </w:r>
    </w:p>
    <w:p w14:paraId="03BB49D9" w14:textId="2295A8F1" w:rsidR="00CF05D6" w:rsidRDefault="00CF05D6" w:rsidP="00CF05D6">
      <w:pPr>
        <w:pStyle w:val="Tijeloteksta"/>
        <w:ind w:left="5664"/>
        <w:rPr>
          <w:sz w:val="24"/>
          <w:szCs w:val="24"/>
        </w:rPr>
      </w:pPr>
      <w:r>
        <w:rPr>
          <w:sz w:val="24"/>
          <w:szCs w:val="24"/>
        </w:rPr>
        <w:t xml:space="preserve">      Nikolina Ćuić Muhvić</w:t>
      </w:r>
    </w:p>
    <w:p w14:paraId="20FAA49E" w14:textId="77777777" w:rsidR="00BC7304" w:rsidRDefault="00BC7304" w:rsidP="00E9192A">
      <w:pPr>
        <w:pStyle w:val="Tijeloteksta"/>
        <w:rPr>
          <w:sz w:val="24"/>
          <w:szCs w:val="24"/>
        </w:rPr>
      </w:pPr>
    </w:p>
    <w:p w14:paraId="2DDF54DF" w14:textId="77777777" w:rsidR="00BC7304" w:rsidRDefault="00BC7304" w:rsidP="00E9192A">
      <w:pPr>
        <w:pStyle w:val="Tijeloteksta"/>
        <w:rPr>
          <w:sz w:val="24"/>
          <w:szCs w:val="24"/>
        </w:rPr>
      </w:pPr>
    </w:p>
    <w:p w14:paraId="667792A6" w14:textId="77777777" w:rsidR="00BC7304" w:rsidRDefault="00BC7304" w:rsidP="00E9192A">
      <w:pPr>
        <w:pStyle w:val="Tijeloteksta"/>
        <w:rPr>
          <w:sz w:val="24"/>
          <w:szCs w:val="24"/>
        </w:rPr>
      </w:pPr>
    </w:p>
    <w:p w14:paraId="3A259014" w14:textId="77777777" w:rsidR="00BC7304" w:rsidRDefault="00BC7304" w:rsidP="00E9192A">
      <w:pPr>
        <w:pStyle w:val="Tijeloteksta"/>
        <w:rPr>
          <w:sz w:val="24"/>
          <w:szCs w:val="24"/>
        </w:rPr>
      </w:pPr>
    </w:p>
    <w:p w14:paraId="1D9479F3" w14:textId="77777777" w:rsidR="00BC7304" w:rsidRDefault="00BC7304" w:rsidP="00E9192A">
      <w:pPr>
        <w:pStyle w:val="Tijeloteksta"/>
        <w:rPr>
          <w:sz w:val="24"/>
          <w:szCs w:val="24"/>
        </w:rPr>
      </w:pPr>
    </w:p>
    <w:p w14:paraId="02AAF579" w14:textId="77777777" w:rsidR="002601B1" w:rsidRDefault="002601B1" w:rsidP="00E9192A">
      <w:pPr>
        <w:pStyle w:val="Tijeloteksta"/>
        <w:rPr>
          <w:sz w:val="24"/>
          <w:szCs w:val="24"/>
        </w:rPr>
      </w:pPr>
    </w:p>
    <w:p w14:paraId="6564BEFA" w14:textId="77777777" w:rsidR="002601B1" w:rsidRDefault="002601B1" w:rsidP="00E9192A">
      <w:pPr>
        <w:pStyle w:val="Tijeloteksta"/>
        <w:rPr>
          <w:sz w:val="24"/>
          <w:szCs w:val="24"/>
        </w:rPr>
      </w:pPr>
    </w:p>
    <w:p w14:paraId="07818F9B" w14:textId="780BAA5E" w:rsidR="00C8587A" w:rsidRPr="00163DB8" w:rsidRDefault="00B837FB" w:rsidP="00E9192A">
      <w:pPr>
        <w:pStyle w:val="Tijeloteksta"/>
        <w:rPr>
          <w:color w:val="000000"/>
          <w:sz w:val="24"/>
          <w:szCs w:val="24"/>
        </w:rPr>
      </w:pPr>
      <w:r w:rsidRPr="00163DB8">
        <w:rPr>
          <w:sz w:val="24"/>
          <w:szCs w:val="24"/>
        </w:rPr>
        <w:lastRenderedPageBreak/>
        <w:t xml:space="preserve">Na temelju </w:t>
      </w:r>
      <w:r w:rsidR="00C8587A" w:rsidRPr="00163DB8">
        <w:rPr>
          <w:sz w:val="24"/>
          <w:szCs w:val="24"/>
        </w:rPr>
        <w:t xml:space="preserve">članka 35. </w:t>
      </w:r>
      <w:r w:rsidR="00C8587A" w:rsidRPr="00163DB8">
        <w:rPr>
          <w:color w:val="000000"/>
          <w:sz w:val="24"/>
          <w:szCs w:val="24"/>
        </w:rPr>
        <w:t>Zakona o lokalnoj i područnoj</w:t>
      </w:r>
      <w:r w:rsidR="00E9192A" w:rsidRPr="00163DB8">
        <w:rPr>
          <w:color w:val="000000"/>
          <w:sz w:val="24"/>
          <w:szCs w:val="24"/>
        </w:rPr>
        <w:t xml:space="preserve"> </w:t>
      </w:r>
      <w:r w:rsidR="00C8587A" w:rsidRPr="00163DB8">
        <w:rPr>
          <w:color w:val="000000"/>
          <w:sz w:val="24"/>
          <w:szCs w:val="24"/>
        </w:rPr>
        <w:t xml:space="preserve">(regionalnoj) samoupravi </w:t>
      </w:r>
      <w:r w:rsidR="00A72095" w:rsidRPr="00163DB8">
        <w:rPr>
          <w:color w:val="000000"/>
          <w:sz w:val="24"/>
          <w:lang w:eastAsia="hr-HR"/>
        </w:rPr>
        <w:t>(„Narodne novine“</w:t>
      </w:r>
      <w:r w:rsidR="00BC7304">
        <w:rPr>
          <w:color w:val="000000"/>
          <w:sz w:val="24"/>
          <w:lang w:eastAsia="hr-HR"/>
        </w:rPr>
        <w:t>,</w:t>
      </w:r>
      <w:r w:rsidR="00A72095" w:rsidRPr="00163DB8">
        <w:rPr>
          <w:color w:val="000000"/>
          <w:sz w:val="24"/>
          <w:lang w:eastAsia="hr-HR"/>
        </w:rPr>
        <w:t xml:space="preserve"> broj </w:t>
      </w:r>
      <w:r w:rsidR="00C8587A" w:rsidRPr="00163DB8">
        <w:rPr>
          <w:color w:val="000000"/>
          <w:sz w:val="24"/>
          <w:szCs w:val="24"/>
        </w:rPr>
        <w:t>33/01, 60/01, 129/05, 109/07, 125/08, 36/09, 36/09, 150/11, 144/12, 19/13, 137/15, 123/17, 98/19, 144/20)</w:t>
      </w:r>
      <w:r w:rsidR="00E23442" w:rsidRPr="00163DB8">
        <w:rPr>
          <w:color w:val="000000"/>
          <w:sz w:val="24"/>
          <w:szCs w:val="24"/>
        </w:rPr>
        <w:t>,</w:t>
      </w:r>
      <w:r w:rsidR="00C8587A" w:rsidRPr="00163DB8">
        <w:rPr>
          <w:color w:val="000000"/>
          <w:sz w:val="24"/>
          <w:szCs w:val="24"/>
        </w:rPr>
        <w:t xml:space="preserve"> članka 40. Statuta Grada Delnica </w:t>
      </w:r>
      <w:r w:rsidR="00A72095" w:rsidRPr="00163DB8">
        <w:rPr>
          <w:color w:val="000000"/>
          <w:sz w:val="24"/>
          <w:lang w:eastAsia="hr-HR"/>
        </w:rPr>
        <w:t>(„Službene novine Grada Delnica“</w:t>
      </w:r>
      <w:r w:rsidR="00BC7304">
        <w:rPr>
          <w:color w:val="000000"/>
          <w:sz w:val="24"/>
          <w:lang w:eastAsia="hr-HR"/>
        </w:rPr>
        <w:t>,</w:t>
      </w:r>
      <w:r w:rsidR="00A72095" w:rsidRPr="00163DB8">
        <w:rPr>
          <w:color w:val="000000"/>
          <w:sz w:val="24"/>
          <w:lang w:eastAsia="hr-HR"/>
        </w:rPr>
        <w:t xml:space="preserve"> broj </w:t>
      </w:r>
      <w:r w:rsidR="00C8587A" w:rsidRPr="00163DB8">
        <w:rPr>
          <w:color w:val="000000"/>
          <w:sz w:val="24"/>
          <w:szCs w:val="24"/>
        </w:rPr>
        <w:t>2/21)</w:t>
      </w:r>
      <w:r w:rsidR="00E23442" w:rsidRPr="00163DB8">
        <w:rPr>
          <w:color w:val="000000"/>
          <w:sz w:val="24"/>
          <w:szCs w:val="24"/>
        </w:rPr>
        <w:t xml:space="preserve"> i </w:t>
      </w:r>
      <w:r w:rsidR="00E23442" w:rsidRPr="00163DB8">
        <w:rPr>
          <w:sz w:val="24"/>
          <w:szCs w:val="24"/>
        </w:rPr>
        <w:t xml:space="preserve">članka 7. Zakona o financiranju političkih aktivnosti i izborne promidžbe </w:t>
      </w:r>
      <w:r w:rsidR="00A72095" w:rsidRPr="00163DB8">
        <w:rPr>
          <w:color w:val="000000"/>
          <w:sz w:val="24"/>
          <w:lang w:eastAsia="hr-HR"/>
        </w:rPr>
        <w:t>(„Narodne novine“</w:t>
      </w:r>
      <w:r w:rsidR="00BC7304">
        <w:rPr>
          <w:color w:val="000000"/>
          <w:sz w:val="24"/>
          <w:lang w:eastAsia="hr-HR"/>
        </w:rPr>
        <w:t>,</w:t>
      </w:r>
      <w:r w:rsidR="00A72095" w:rsidRPr="00163DB8">
        <w:rPr>
          <w:color w:val="000000"/>
          <w:sz w:val="24"/>
          <w:lang w:eastAsia="hr-HR"/>
        </w:rPr>
        <w:t xml:space="preserve"> broj </w:t>
      </w:r>
      <w:r w:rsidR="00E23442" w:rsidRPr="00163DB8">
        <w:rPr>
          <w:sz w:val="24"/>
          <w:szCs w:val="24"/>
        </w:rPr>
        <w:t>29/19, 98/19)</w:t>
      </w:r>
      <w:r w:rsidR="00E23442" w:rsidRPr="00163DB8">
        <w:rPr>
          <w:color w:val="000000"/>
          <w:sz w:val="24"/>
          <w:szCs w:val="24"/>
        </w:rPr>
        <w:t xml:space="preserve">, na </w:t>
      </w:r>
      <w:r w:rsidR="002D7399">
        <w:rPr>
          <w:color w:val="000000"/>
          <w:sz w:val="24"/>
          <w:szCs w:val="24"/>
        </w:rPr>
        <w:t>xx</w:t>
      </w:r>
      <w:r w:rsidR="00E23442" w:rsidRPr="00163DB8">
        <w:rPr>
          <w:color w:val="000000"/>
          <w:sz w:val="24"/>
          <w:szCs w:val="24"/>
        </w:rPr>
        <w:t>. sjednici</w:t>
      </w:r>
      <w:r w:rsidR="004C1AC5" w:rsidRPr="00163DB8">
        <w:rPr>
          <w:color w:val="000000"/>
          <w:sz w:val="24"/>
          <w:szCs w:val="24"/>
        </w:rPr>
        <w:t xml:space="preserve"> održanoj </w:t>
      </w:r>
      <w:r w:rsidR="002D7399">
        <w:rPr>
          <w:color w:val="000000"/>
          <w:sz w:val="24"/>
          <w:szCs w:val="24"/>
        </w:rPr>
        <w:t>xx</w:t>
      </w:r>
      <w:r w:rsidR="004C1AC5" w:rsidRPr="00163DB8">
        <w:rPr>
          <w:color w:val="000000"/>
          <w:sz w:val="24"/>
          <w:szCs w:val="24"/>
        </w:rPr>
        <w:t>. prosinca 202</w:t>
      </w:r>
      <w:r w:rsidR="002D7399">
        <w:rPr>
          <w:color w:val="000000"/>
          <w:sz w:val="24"/>
          <w:szCs w:val="24"/>
        </w:rPr>
        <w:t>5</w:t>
      </w:r>
      <w:r w:rsidR="004C1AC5" w:rsidRPr="00163DB8">
        <w:rPr>
          <w:color w:val="000000"/>
          <w:sz w:val="24"/>
          <w:szCs w:val="24"/>
        </w:rPr>
        <w:t>. godine</w:t>
      </w:r>
      <w:r w:rsidR="00C8587A" w:rsidRPr="00163DB8">
        <w:rPr>
          <w:color w:val="000000"/>
          <w:sz w:val="24"/>
          <w:szCs w:val="24"/>
        </w:rPr>
        <w:t xml:space="preserve"> </w:t>
      </w:r>
      <w:r w:rsidR="00C8587A" w:rsidRPr="00163DB8">
        <w:rPr>
          <w:sz w:val="24"/>
          <w:szCs w:val="24"/>
        </w:rPr>
        <w:t xml:space="preserve">Gradsko vijeće Grada Delnica </w:t>
      </w:r>
      <w:r w:rsidR="004C1AC5" w:rsidRPr="00163DB8">
        <w:rPr>
          <w:sz w:val="24"/>
          <w:szCs w:val="24"/>
        </w:rPr>
        <w:t>donosi</w:t>
      </w:r>
      <w:r w:rsidR="00C8587A" w:rsidRPr="00163DB8">
        <w:rPr>
          <w:color w:val="000000"/>
          <w:sz w:val="24"/>
          <w:szCs w:val="24"/>
        </w:rPr>
        <w:t xml:space="preserve"> </w:t>
      </w:r>
    </w:p>
    <w:p w14:paraId="106EDF5D" w14:textId="77777777" w:rsidR="00C8587A" w:rsidRPr="00163DB8" w:rsidRDefault="00C8587A" w:rsidP="00C8587A">
      <w:pPr>
        <w:pStyle w:val="Tijeloteksta"/>
        <w:jc w:val="center"/>
        <w:rPr>
          <w:color w:val="000000"/>
          <w:sz w:val="24"/>
          <w:szCs w:val="24"/>
        </w:rPr>
      </w:pPr>
    </w:p>
    <w:p w14:paraId="087BB327" w14:textId="77777777" w:rsidR="00C8587A" w:rsidRPr="00163DB8" w:rsidRDefault="00E9192A" w:rsidP="00C8587A">
      <w:pPr>
        <w:pStyle w:val="Tijeloteksta"/>
        <w:jc w:val="center"/>
        <w:rPr>
          <w:b/>
          <w:color w:val="000000"/>
          <w:sz w:val="24"/>
          <w:szCs w:val="24"/>
        </w:rPr>
      </w:pPr>
      <w:r w:rsidRPr="00163DB8">
        <w:rPr>
          <w:b/>
          <w:color w:val="000000"/>
          <w:sz w:val="24"/>
          <w:szCs w:val="24"/>
        </w:rPr>
        <w:t>ODLUKU O RASPOREĐIVANJU SREDSTAVA ZA RAD POLITIČKIH STRANAKA I GRUPE BIRAČA ZASTUPLJENIH U GRADSKOM VIJEĆU GRADA DELNICA</w:t>
      </w:r>
    </w:p>
    <w:p w14:paraId="0C9493C5" w14:textId="77777777" w:rsidR="00C8587A" w:rsidRPr="00163DB8" w:rsidRDefault="00C8587A" w:rsidP="00C8587A">
      <w:pPr>
        <w:pStyle w:val="Tijeloteksta"/>
        <w:jc w:val="center"/>
        <w:rPr>
          <w:color w:val="000000"/>
          <w:sz w:val="24"/>
          <w:szCs w:val="24"/>
        </w:rPr>
      </w:pPr>
    </w:p>
    <w:p w14:paraId="3AF5B3AD" w14:textId="77777777" w:rsidR="00C8587A" w:rsidRPr="00163DB8" w:rsidRDefault="00C8587A" w:rsidP="00C8587A">
      <w:pPr>
        <w:pStyle w:val="Tijeloteksta"/>
        <w:jc w:val="center"/>
        <w:rPr>
          <w:b/>
          <w:color w:val="000000"/>
          <w:sz w:val="24"/>
          <w:szCs w:val="24"/>
        </w:rPr>
      </w:pPr>
      <w:r w:rsidRPr="00163DB8">
        <w:rPr>
          <w:b/>
          <w:color w:val="000000"/>
          <w:sz w:val="24"/>
          <w:szCs w:val="24"/>
        </w:rPr>
        <w:t>Članak 1.</w:t>
      </w:r>
    </w:p>
    <w:p w14:paraId="7EFAB5C8" w14:textId="681F716D" w:rsidR="00CD2245" w:rsidRPr="00163DB8" w:rsidRDefault="00CD4C0C" w:rsidP="00CD2245">
      <w:pPr>
        <w:autoSpaceDE w:val="0"/>
        <w:autoSpaceDN w:val="0"/>
        <w:adjustRightInd w:val="0"/>
        <w:spacing w:line="264" w:lineRule="auto"/>
        <w:jc w:val="both"/>
        <w:rPr>
          <w:sz w:val="24"/>
          <w:szCs w:val="24"/>
        </w:rPr>
      </w:pPr>
      <w:r w:rsidRPr="00163DB8">
        <w:rPr>
          <w:sz w:val="24"/>
          <w:szCs w:val="24"/>
        </w:rPr>
        <w:t>Ovom Odlukom raspoređuju se sredstva za rad političkih stranaka i grupe birača zastupljenih u Gradskom vijeću Grada Delnica (u daljnjem tekstu: Gradsko vijeće) za 202</w:t>
      </w:r>
      <w:r w:rsidR="002D7399">
        <w:rPr>
          <w:sz w:val="24"/>
          <w:szCs w:val="24"/>
        </w:rPr>
        <w:t>6</w:t>
      </w:r>
      <w:r w:rsidRPr="00163DB8">
        <w:rPr>
          <w:sz w:val="24"/>
          <w:szCs w:val="24"/>
        </w:rPr>
        <w:t>. godinu koja se osiguravaju u proračunu Grada Delnica za 202</w:t>
      </w:r>
      <w:r w:rsidR="002D7399">
        <w:rPr>
          <w:sz w:val="24"/>
          <w:szCs w:val="24"/>
        </w:rPr>
        <w:t>6</w:t>
      </w:r>
      <w:r w:rsidRPr="00163DB8">
        <w:rPr>
          <w:sz w:val="24"/>
          <w:szCs w:val="24"/>
        </w:rPr>
        <w:t>. godinu.</w:t>
      </w:r>
    </w:p>
    <w:p w14:paraId="731CB3DD" w14:textId="77777777" w:rsidR="00CD4C0C" w:rsidRPr="00163DB8" w:rsidRDefault="00CD4C0C" w:rsidP="00CD2245">
      <w:pPr>
        <w:autoSpaceDE w:val="0"/>
        <w:autoSpaceDN w:val="0"/>
        <w:adjustRightInd w:val="0"/>
        <w:spacing w:line="264" w:lineRule="auto"/>
        <w:jc w:val="both"/>
        <w:rPr>
          <w:sz w:val="24"/>
          <w:szCs w:val="24"/>
        </w:rPr>
      </w:pPr>
    </w:p>
    <w:p w14:paraId="2F2D0904" w14:textId="77777777" w:rsidR="00CD4C0C" w:rsidRPr="00163DB8" w:rsidRDefault="00C8587A" w:rsidP="00CD4C0C">
      <w:pPr>
        <w:autoSpaceDE w:val="0"/>
        <w:autoSpaceDN w:val="0"/>
        <w:adjustRightInd w:val="0"/>
        <w:spacing w:line="264" w:lineRule="auto"/>
        <w:jc w:val="center"/>
        <w:rPr>
          <w:b/>
          <w:sz w:val="24"/>
          <w:szCs w:val="24"/>
        </w:rPr>
      </w:pPr>
      <w:r w:rsidRPr="00163DB8">
        <w:rPr>
          <w:b/>
          <w:sz w:val="24"/>
          <w:szCs w:val="24"/>
        </w:rPr>
        <w:t>Članak 2.</w:t>
      </w:r>
    </w:p>
    <w:p w14:paraId="6DBFAF4C" w14:textId="77777777" w:rsidR="00CD4C0C" w:rsidRPr="00163DB8" w:rsidRDefault="00351CA2" w:rsidP="00CD4C0C">
      <w:pPr>
        <w:autoSpaceDE w:val="0"/>
        <w:autoSpaceDN w:val="0"/>
        <w:adjustRightInd w:val="0"/>
        <w:spacing w:line="264" w:lineRule="auto"/>
        <w:rPr>
          <w:sz w:val="24"/>
          <w:szCs w:val="24"/>
        </w:rPr>
      </w:pPr>
      <w:r w:rsidRPr="00163DB8">
        <w:rPr>
          <w:sz w:val="24"/>
          <w:szCs w:val="24"/>
        </w:rPr>
        <w:t>Pravo na financiranje iz sredstava proračuna Grada Delnica imaju političke stranke i vijećnici izabrani s liste grupe birača koje imaju najmanje jednog vijećnika u Gradskom vijeću.</w:t>
      </w:r>
    </w:p>
    <w:p w14:paraId="6DB4F66F" w14:textId="77777777" w:rsidR="00351CA2" w:rsidRPr="00163DB8" w:rsidRDefault="00351CA2" w:rsidP="00CD4C0C">
      <w:pPr>
        <w:autoSpaceDE w:val="0"/>
        <w:autoSpaceDN w:val="0"/>
        <w:adjustRightInd w:val="0"/>
        <w:spacing w:line="264" w:lineRule="auto"/>
        <w:rPr>
          <w:sz w:val="24"/>
          <w:szCs w:val="24"/>
        </w:rPr>
      </w:pPr>
    </w:p>
    <w:p w14:paraId="525EFC08" w14:textId="77777777" w:rsidR="00351CA2" w:rsidRPr="00163DB8" w:rsidRDefault="00351CA2" w:rsidP="00351CA2">
      <w:pPr>
        <w:autoSpaceDE w:val="0"/>
        <w:autoSpaceDN w:val="0"/>
        <w:adjustRightInd w:val="0"/>
        <w:spacing w:line="264" w:lineRule="auto"/>
        <w:jc w:val="center"/>
        <w:rPr>
          <w:b/>
          <w:sz w:val="24"/>
          <w:szCs w:val="24"/>
        </w:rPr>
      </w:pPr>
      <w:r w:rsidRPr="00163DB8">
        <w:rPr>
          <w:b/>
          <w:sz w:val="24"/>
          <w:szCs w:val="24"/>
        </w:rPr>
        <w:t>Članak 3.</w:t>
      </w:r>
    </w:p>
    <w:p w14:paraId="20F7948D" w14:textId="0702FF5E" w:rsidR="00622018" w:rsidRPr="00163DB8" w:rsidRDefault="00CD4C0C" w:rsidP="00CD4C0C">
      <w:pPr>
        <w:autoSpaceDE w:val="0"/>
        <w:autoSpaceDN w:val="0"/>
        <w:adjustRightInd w:val="0"/>
        <w:spacing w:line="264" w:lineRule="auto"/>
        <w:jc w:val="both"/>
        <w:rPr>
          <w:sz w:val="24"/>
          <w:szCs w:val="24"/>
        </w:rPr>
      </w:pPr>
      <w:r w:rsidRPr="00163DB8">
        <w:rPr>
          <w:sz w:val="24"/>
          <w:szCs w:val="24"/>
        </w:rPr>
        <w:t>U proračunu Grada Delnica za 202</w:t>
      </w:r>
      <w:r w:rsidR="002D7399">
        <w:rPr>
          <w:sz w:val="24"/>
          <w:szCs w:val="24"/>
        </w:rPr>
        <w:t>6</w:t>
      </w:r>
      <w:r w:rsidRPr="00163DB8">
        <w:rPr>
          <w:sz w:val="24"/>
          <w:szCs w:val="24"/>
        </w:rPr>
        <w:t>. godinu ukupno su osigurana sredstva za rad političkih stranaka i Kandidacijske liste grupe birača zastupljenih u Gradskom vijeću u iznosu od 3.</w:t>
      </w:r>
      <w:r w:rsidR="006A4D58">
        <w:rPr>
          <w:sz w:val="24"/>
          <w:szCs w:val="24"/>
        </w:rPr>
        <w:t>5</w:t>
      </w:r>
      <w:r w:rsidR="00BC7304">
        <w:rPr>
          <w:sz w:val="24"/>
          <w:szCs w:val="24"/>
        </w:rPr>
        <w:t>65</w:t>
      </w:r>
      <w:r w:rsidRPr="00163DB8">
        <w:rPr>
          <w:sz w:val="24"/>
          <w:szCs w:val="24"/>
        </w:rPr>
        <w:t>,00 eura.</w:t>
      </w:r>
    </w:p>
    <w:p w14:paraId="550AB04D" w14:textId="77777777" w:rsidR="00351CA2" w:rsidRPr="00163DB8" w:rsidRDefault="00351CA2" w:rsidP="00351CA2">
      <w:pPr>
        <w:autoSpaceDE w:val="0"/>
        <w:autoSpaceDN w:val="0"/>
        <w:adjustRightInd w:val="0"/>
        <w:spacing w:line="264" w:lineRule="auto"/>
        <w:jc w:val="center"/>
        <w:rPr>
          <w:b/>
          <w:sz w:val="24"/>
          <w:szCs w:val="24"/>
        </w:rPr>
      </w:pPr>
      <w:r w:rsidRPr="00163DB8">
        <w:rPr>
          <w:b/>
          <w:sz w:val="24"/>
          <w:szCs w:val="24"/>
        </w:rPr>
        <w:t>Članak 4.</w:t>
      </w:r>
    </w:p>
    <w:p w14:paraId="161A53F7" w14:textId="01144106" w:rsidR="00351CA2" w:rsidRPr="00163DB8" w:rsidRDefault="00351CA2" w:rsidP="00CD4C0C">
      <w:pPr>
        <w:autoSpaceDE w:val="0"/>
        <w:autoSpaceDN w:val="0"/>
        <w:adjustRightInd w:val="0"/>
        <w:spacing w:line="264" w:lineRule="auto"/>
        <w:jc w:val="both"/>
        <w:rPr>
          <w:sz w:val="24"/>
          <w:szCs w:val="24"/>
        </w:rPr>
      </w:pPr>
      <w:r w:rsidRPr="00163DB8">
        <w:rPr>
          <w:sz w:val="24"/>
          <w:szCs w:val="24"/>
        </w:rPr>
        <w:t>Za svakog člana Gradskog vijeća utvrđuje se jednaki iznos sredstava tako da svakoj pojedinoj političkoj stranci i vijećnicima izabranim sa liste grupe birača pripadaju sredstva razmjern</w:t>
      </w:r>
      <w:r w:rsidR="002D7399">
        <w:rPr>
          <w:sz w:val="24"/>
          <w:szCs w:val="24"/>
        </w:rPr>
        <w:t>a</w:t>
      </w:r>
      <w:r w:rsidRPr="00163DB8">
        <w:rPr>
          <w:sz w:val="24"/>
          <w:szCs w:val="24"/>
        </w:rPr>
        <w:t xml:space="preserve"> broju </w:t>
      </w:r>
      <w:r w:rsidR="002D7399">
        <w:rPr>
          <w:sz w:val="24"/>
          <w:szCs w:val="24"/>
        </w:rPr>
        <w:t>dobivenih mjesta članova u predstavničkom tijelu, prema konačnim rezultatima izbora za članove predstavničkog tijela</w:t>
      </w:r>
      <w:r w:rsidRPr="00163DB8">
        <w:rPr>
          <w:sz w:val="24"/>
          <w:szCs w:val="24"/>
        </w:rPr>
        <w:t>.</w:t>
      </w:r>
    </w:p>
    <w:p w14:paraId="0B13E3FB" w14:textId="77777777" w:rsidR="00351CA2" w:rsidRPr="00163DB8" w:rsidRDefault="00351CA2" w:rsidP="00CD4C0C">
      <w:pPr>
        <w:autoSpaceDE w:val="0"/>
        <w:autoSpaceDN w:val="0"/>
        <w:adjustRightInd w:val="0"/>
        <w:spacing w:line="264" w:lineRule="auto"/>
        <w:jc w:val="both"/>
        <w:rPr>
          <w:sz w:val="24"/>
          <w:szCs w:val="24"/>
        </w:rPr>
      </w:pPr>
      <w:r w:rsidRPr="00163DB8">
        <w:rPr>
          <w:sz w:val="24"/>
          <w:szCs w:val="24"/>
        </w:rPr>
        <w:t>Za svakog izabranog člana Gradskog vijeća podzastupljenog spola, političkim strankama i vijećnicima izabranih s liste grupe birača pripada i pravo na naknadu u visini od 10% iznosa predviđenog po svakom članu Gradskog vijeća, a određenog u stavku 1. ovog članka.</w:t>
      </w:r>
    </w:p>
    <w:p w14:paraId="151DBEF8" w14:textId="77777777" w:rsidR="00351CA2" w:rsidRPr="00163DB8" w:rsidRDefault="00351CA2" w:rsidP="00CD4C0C">
      <w:pPr>
        <w:autoSpaceDE w:val="0"/>
        <w:autoSpaceDN w:val="0"/>
        <w:adjustRightInd w:val="0"/>
        <w:spacing w:line="264" w:lineRule="auto"/>
        <w:jc w:val="both"/>
        <w:rPr>
          <w:sz w:val="24"/>
          <w:szCs w:val="24"/>
        </w:rPr>
      </w:pPr>
    </w:p>
    <w:p w14:paraId="3133FF12" w14:textId="77777777" w:rsidR="00351CA2" w:rsidRPr="00163DB8" w:rsidRDefault="00351CA2" w:rsidP="00351CA2">
      <w:pPr>
        <w:autoSpaceDE w:val="0"/>
        <w:autoSpaceDN w:val="0"/>
        <w:adjustRightInd w:val="0"/>
        <w:spacing w:line="264" w:lineRule="auto"/>
        <w:jc w:val="center"/>
        <w:rPr>
          <w:b/>
          <w:sz w:val="24"/>
          <w:szCs w:val="24"/>
        </w:rPr>
      </w:pPr>
      <w:r w:rsidRPr="00163DB8">
        <w:rPr>
          <w:b/>
          <w:sz w:val="24"/>
          <w:szCs w:val="24"/>
        </w:rPr>
        <w:t>Članak 5.</w:t>
      </w:r>
    </w:p>
    <w:p w14:paraId="32CD1A40" w14:textId="77777777" w:rsidR="00351CA2" w:rsidRPr="00163DB8" w:rsidRDefault="00351CA2" w:rsidP="00CD4C0C">
      <w:pPr>
        <w:autoSpaceDE w:val="0"/>
        <w:autoSpaceDN w:val="0"/>
        <w:adjustRightInd w:val="0"/>
        <w:spacing w:line="264" w:lineRule="auto"/>
        <w:jc w:val="both"/>
        <w:rPr>
          <w:sz w:val="24"/>
          <w:szCs w:val="24"/>
        </w:rPr>
      </w:pPr>
      <w:r w:rsidRPr="00163DB8">
        <w:rPr>
          <w:sz w:val="24"/>
          <w:szCs w:val="24"/>
        </w:rPr>
        <w:t>Kao podaci o stranačkoj pripadnosti članova Gradskog vijeća uzimaju se podaci u trenutku konstituiranja Gradskog vijeća</w:t>
      </w:r>
      <w:r w:rsidR="00ED26E6" w:rsidRPr="00163DB8">
        <w:rPr>
          <w:sz w:val="24"/>
          <w:szCs w:val="24"/>
        </w:rPr>
        <w:t>.</w:t>
      </w:r>
    </w:p>
    <w:p w14:paraId="0174D262" w14:textId="77777777" w:rsidR="00ED26E6" w:rsidRPr="00163DB8" w:rsidRDefault="00ED26E6" w:rsidP="00CD4C0C">
      <w:pPr>
        <w:autoSpaceDE w:val="0"/>
        <w:autoSpaceDN w:val="0"/>
        <w:adjustRightInd w:val="0"/>
        <w:spacing w:line="264" w:lineRule="auto"/>
        <w:jc w:val="both"/>
        <w:rPr>
          <w:sz w:val="24"/>
          <w:szCs w:val="24"/>
        </w:rPr>
      </w:pPr>
    </w:p>
    <w:p w14:paraId="79B7B7DD" w14:textId="77777777" w:rsidR="00ED26E6" w:rsidRPr="00163DB8" w:rsidRDefault="00ED26E6" w:rsidP="00ED26E6">
      <w:pPr>
        <w:autoSpaceDE w:val="0"/>
        <w:autoSpaceDN w:val="0"/>
        <w:adjustRightInd w:val="0"/>
        <w:spacing w:line="264" w:lineRule="auto"/>
        <w:jc w:val="center"/>
        <w:rPr>
          <w:b/>
          <w:sz w:val="24"/>
          <w:szCs w:val="24"/>
        </w:rPr>
      </w:pPr>
      <w:r w:rsidRPr="00163DB8">
        <w:rPr>
          <w:b/>
          <w:sz w:val="24"/>
          <w:szCs w:val="24"/>
        </w:rPr>
        <w:t>Članak 6.</w:t>
      </w:r>
    </w:p>
    <w:p w14:paraId="18159752" w14:textId="77777777" w:rsidR="00ED26E6" w:rsidRPr="00163DB8" w:rsidRDefault="00ED26E6" w:rsidP="00CD4C0C">
      <w:pPr>
        <w:autoSpaceDE w:val="0"/>
        <w:autoSpaceDN w:val="0"/>
        <w:adjustRightInd w:val="0"/>
        <w:spacing w:line="264" w:lineRule="auto"/>
        <w:jc w:val="both"/>
        <w:rPr>
          <w:sz w:val="24"/>
          <w:szCs w:val="24"/>
        </w:rPr>
      </w:pPr>
      <w:r w:rsidRPr="00163DB8">
        <w:rPr>
          <w:sz w:val="24"/>
          <w:szCs w:val="24"/>
        </w:rPr>
        <w:t>Političkoj se stranci u tijeku proračunske godine mogu povećati odnosno smanjiti financijska sredstva propisana ovom Odlukom ukoliko dođe do promjene broja članova Gradskog vijeća iz reda podzastupljenog spola koje ta politička stranka ima u Gradskom vijeću.</w:t>
      </w:r>
    </w:p>
    <w:p w14:paraId="0F5AD160" w14:textId="77777777" w:rsidR="007D196B" w:rsidRPr="00163DB8" w:rsidRDefault="007D196B" w:rsidP="00CD4C0C">
      <w:pPr>
        <w:autoSpaceDE w:val="0"/>
        <w:autoSpaceDN w:val="0"/>
        <w:adjustRightInd w:val="0"/>
        <w:spacing w:line="264" w:lineRule="auto"/>
        <w:jc w:val="both"/>
        <w:rPr>
          <w:sz w:val="24"/>
          <w:szCs w:val="24"/>
        </w:rPr>
      </w:pPr>
    </w:p>
    <w:p w14:paraId="2A1F0646" w14:textId="77777777" w:rsidR="007D196B" w:rsidRPr="00163DB8" w:rsidRDefault="007D196B" w:rsidP="007D196B">
      <w:pPr>
        <w:autoSpaceDE w:val="0"/>
        <w:autoSpaceDN w:val="0"/>
        <w:adjustRightInd w:val="0"/>
        <w:spacing w:line="264" w:lineRule="auto"/>
        <w:jc w:val="center"/>
        <w:rPr>
          <w:b/>
          <w:sz w:val="24"/>
          <w:szCs w:val="24"/>
        </w:rPr>
      </w:pPr>
      <w:r w:rsidRPr="00163DB8">
        <w:rPr>
          <w:b/>
          <w:sz w:val="24"/>
          <w:szCs w:val="24"/>
        </w:rPr>
        <w:t>Članak 7.</w:t>
      </w:r>
    </w:p>
    <w:p w14:paraId="03408054" w14:textId="3267D4C8" w:rsidR="007D196B" w:rsidRPr="00163DB8" w:rsidRDefault="007D196B" w:rsidP="00CD4C0C">
      <w:pPr>
        <w:autoSpaceDE w:val="0"/>
        <w:autoSpaceDN w:val="0"/>
        <w:adjustRightInd w:val="0"/>
        <w:spacing w:line="264" w:lineRule="auto"/>
        <w:jc w:val="both"/>
        <w:rPr>
          <w:sz w:val="24"/>
          <w:szCs w:val="24"/>
        </w:rPr>
      </w:pPr>
      <w:r w:rsidRPr="00163DB8">
        <w:rPr>
          <w:sz w:val="24"/>
          <w:szCs w:val="24"/>
        </w:rPr>
        <w:t>Sukladno članku 3. i članku 4. ove Odluke za svakog člana Gradskog vijeća ut</w:t>
      </w:r>
      <w:r w:rsidR="00357C06" w:rsidRPr="00163DB8">
        <w:rPr>
          <w:sz w:val="24"/>
          <w:szCs w:val="24"/>
        </w:rPr>
        <w:t>vrđuje se iznos sredstava od 26</w:t>
      </w:r>
      <w:r w:rsidR="00EA57AB" w:rsidRPr="00163DB8">
        <w:rPr>
          <w:sz w:val="24"/>
          <w:szCs w:val="24"/>
        </w:rPr>
        <w:t>6</w:t>
      </w:r>
      <w:r w:rsidR="00357C06" w:rsidRPr="00163DB8">
        <w:rPr>
          <w:sz w:val="24"/>
          <w:szCs w:val="24"/>
        </w:rPr>
        <w:t>,</w:t>
      </w:r>
      <w:r w:rsidR="00EA57AB" w:rsidRPr="00163DB8">
        <w:rPr>
          <w:sz w:val="24"/>
          <w:szCs w:val="24"/>
        </w:rPr>
        <w:t>00</w:t>
      </w:r>
      <w:r w:rsidRPr="00163DB8">
        <w:rPr>
          <w:sz w:val="24"/>
          <w:szCs w:val="24"/>
        </w:rPr>
        <w:t xml:space="preserve"> eura.</w:t>
      </w:r>
    </w:p>
    <w:p w14:paraId="5C87C246" w14:textId="12ACEF8C" w:rsidR="007D196B" w:rsidRPr="00163DB8" w:rsidRDefault="007D196B" w:rsidP="00CD4C0C">
      <w:pPr>
        <w:autoSpaceDE w:val="0"/>
        <w:autoSpaceDN w:val="0"/>
        <w:adjustRightInd w:val="0"/>
        <w:spacing w:line="264" w:lineRule="auto"/>
        <w:jc w:val="both"/>
        <w:rPr>
          <w:sz w:val="24"/>
          <w:szCs w:val="24"/>
        </w:rPr>
      </w:pPr>
      <w:r w:rsidRPr="00163DB8">
        <w:rPr>
          <w:sz w:val="24"/>
          <w:szCs w:val="24"/>
        </w:rPr>
        <w:t xml:space="preserve">Isto tako, sukladno članku 4. ove Odluke za svakog člana Gradskog vijeća podzastupljenog spola utvrđuje se dodatna naknada u iznosu od </w:t>
      </w:r>
      <w:r w:rsidR="00357C06" w:rsidRPr="00163DB8">
        <w:rPr>
          <w:sz w:val="24"/>
          <w:szCs w:val="24"/>
        </w:rPr>
        <w:t>2</w:t>
      </w:r>
      <w:r w:rsidR="00CC25A5">
        <w:rPr>
          <w:sz w:val="24"/>
          <w:szCs w:val="24"/>
        </w:rPr>
        <w:t>6</w:t>
      </w:r>
      <w:r w:rsidR="00357C06" w:rsidRPr="00163DB8">
        <w:rPr>
          <w:sz w:val="24"/>
          <w:szCs w:val="24"/>
        </w:rPr>
        <w:t>,</w:t>
      </w:r>
      <w:r w:rsidR="00CC25A5">
        <w:rPr>
          <w:sz w:val="24"/>
          <w:szCs w:val="24"/>
        </w:rPr>
        <w:t>6</w:t>
      </w:r>
      <w:r w:rsidR="00EA57AB" w:rsidRPr="00163DB8">
        <w:rPr>
          <w:sz w:val="24"/>
          <w:szCs w:val="24"/>
        </w:rPr>
        <w:t>0</w:t>
      </w:r>
      <w:r w:rsidR="00207813" w:rsidRPr="00163DB8">
        <w:rPr>
          <w:sz w:val="24"/>
          <w:szCs w:val="24"/>
        </w:rPr>
        <w:t xml:space="preserve"> eura.</w:t>
      </w:r>
    </w:p>
    <w:p w14:paraId="4EBAD0F9" w14:textId="77777777" w:rsidR="00F0212E" w:rsidRPr="00163DB8" w:rsidRDefault="00F0212E" w:rsidP="00CD4C0C">
      <w:pPr>
        <w:autoSpaceDE w:val="0"/>
        <w:autoSpaceDN w:val="0"/>
        <w:adjustRightInd w:val="0"/>
        <w:spacing w:line="264" w:lineRule="auto"/>
        <w:jc w:val="both"/>
        <w:rPr>
          <w:sz w:val="24"/>
          <w:szCs w:val="24"/>
        </w:rPr>
      </w:pPr>
    </w:p>
    <w:p w14:paraId="6FEFBE7D" w14:textId="77777777" w:rsidR="00207813" w:rsidRPr="00163DB8" w:rsidRDefault="00207813" w:rsidP="00207813">
      <w:pPr>
        <w:autoSpaceDE w:val="0"/>
        <w:autoSpaceDN w:val="0"/>
        <w:adjustRightInd w:val="0"/>
        <w:spacing w:line="264" w:lineRule="auto"/>
        <w:jc w:val="center"/>
        <w:rPr>
          <w:b/>
          <w:sz w:val="24"/>
          <w:szCs w:val="24"/>
        </w:rPr>
      </w:pPr>
      <w:r w:rsidRPr="00163DB8">
        <w:rPr>
          <w:b/>
          <w:sz w:val="24"/>
          <w:szCs w:val="24"/>
        </w:rPr>
        <w:lastRenderedPageBreak/>
        <w:t>Članak 8.</w:t>
      </w:r>
    </w:p>
    <w:p w14:paraId="5B6BC00A" w14:textId="6A83A6B6" w:rsidR="00C8587A" w:rsidRPr="00163DB8" w:rsidRDefault="00207813" w:rsidP="00207813">
      <w:pPr>
        <w:autoSpaceDE w:val="0"/>
        <w:autoSpaceDN w:val="0"/>
        <w:adjustRightInd w:val="0"/>
        <w:spacing w:line="264" w:lineRule="auto"/>
        <w:jc w:val="both"/>
        <w:rPr>
          <w:sz w:val="24"/>
          <w:szCs w:val="24"/>
        </w:rPr>
      </w:pPr>
      <w:r w:rsidRPr="00163DB8">
        <w:rPr>
          <w:sz w:val="24"/>
          <w:szCs w:val="24"/>
        </w:rPr>
        <w:t>Stupanjem na snagu ove Odluke sastav Gradskog vijeća je sljedeći:</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220"/>
        <w:gridCol w:w="2204"/>
        <w:gridCol w:w="1675"/>
      </w:tblGrid>
      <w:tr w:rsidR="00C8587A" w:rsidRPr="00163DB8" w14:paraId="08E21BF4" w14:textId="77777777" w:rsidTr="00E31E83">
        <w:trPr>
          <w:jc w:val="center"/>
        </w:trPr>
        <w:tc>
          <w:tcPr>
            <w:tcW w:w="3017" w:type="dxa"/>
          </w:tcPr>
          <w:p w14:paraId="4FB31892" w14:textId="77777777" w:rsidR="00C8587A" w:rsidRPr="00163DB8" w:rsidRDefault="00C8587A" w:rsidP="00E31E83">
            <w:pPr>
              <w:pStyle w:val="Tijeloteksta"/>
              <w:jc w:val="center"/>
              <w:rPr>
                <w:b/>
                <w:sz w:val="24"/>
                <w:szCs w:val="24"/>
                <w:lang w:eastAsia="en-US"/>
              </w:rPr>
            </w:pPr>
            <w:r w:rsidRPr="00163DB8">
              <w:rPr>
                <w:b/>
                <w:sz w:val="24"/>
                <w:szCs w:val="24"/>
                <w:lang w:eastAsia="en-US"/>
              </w:rPr>
              <w:t>Naziv stranke i</w:t>
            </w:r>
          </w:p>
          <w:p w14:paraId="24C28A2F" w14:textId="77777777" w:rsidR="00C8587A" w:rsidRPr="00163DB8" w:rsidRDefault="00C8587A" w:rsidP="00E31E83">
            <w:pPr>
              <w:pStyle w:val="Tijeloteksta"/>
              <w:jc w:val="center"/>
              <w:rPr>
                <w:b/>
                <w:sz w:val="24"/>
                <w:szCs w:val="24"/>
                <w:lang w:eastAsia="en-US"/>
              </w:rPr>
            </w:pPr>
            <w:r w:rsidRPr="00163DB8">
              <w:rPr>
                <w:b/>
                <w:sz w:val="24"/>
                <w:szCs w:val="24"/>
                <w:lang w:eastAsia="en-US"/>
              </w:rPr>
              <w:t>skraćeni naziv</w:t>
            </w:r>
          </w:p>
        </w:tc>
        <w:tc>
          <w:tcPr>
            <w:tcW w:w="2220" w:type="dxa"/>
          </w:tcPr>
          <w:p w14:paraId="563BEB30" w14:textId="77777777" w:rsidR="00C8587A" w:rsidRPr="00163DB8" w:rsidRDefault="00C8587A" w:rsidP="00E31E83">
            <w:pPr>
              <w:pStyle w:val="Tijeloteksta"/>
              <w:jc w:val="center"/>
              <w:rPr>
                <w:b/>
                <w:sz w:val="24"/>
                <w:szCs w:val="24"/>
                <w:lang w:eastAsia="en-US"/>
              </w:rPr>
            </w:pPr>
            <w:r w:rsidRPr="00163DB8">
              <w:rPr>
                <w:b/>
                <w:sz w:val="24"/>
                <w:szCs w:val="24"/>
                <w:lang w:eastAsia="en-US"/>
              </w:rPr>
              <w:t>Ukupan broj muškaraca</w:t>
            </w:r>
          </w:p>
        </w:tc>
        <w:tc>
          <w:tcPr>
            <w:tcW w:w="2204" w:type="dxa"/>
          </w:tcPr>
          <w:p w14:paraId="53BA8088" w14:textId="77777777" w:rsidR="00C8587A" w:rsidRPr="00163DB8" w:rsidRDefault="00C8587A" w:rsidP="00E31E83">
            <w:pPr>
              <w:pStyle w:val="Tijeloteksta"/>
              <w:jc w:val="center"/>
              <w:rPr>
                <w:b/>
                <w:sz w:val="24"/>
                <w:szCs w:val="24"/>
                <w:lang w:eastAsia="en-US"/>
              </w:rPr>
            </w:pPr>
            <w:r w:rsidRPr="00163DB8">
              <w:rPr>
                <w:b/>
                <w:sz w:val="24"/>
                <w:szCs w:val="24"/>
                <w:lang w:eastAsia="en-US"/>
              </w:rPr>
              <w:t xml:space="preserve">Ukupan broj </w:t>
            </w:r>
          </w:p>
          <w:p w14:paraId="34E1B10E" w14:textId="77777777" w:rsidR="00C8587A" w:rsidRPr="00163DB8" w:rsidRDefault="00FF50F5" w:rsidP="00E31E83">
            <w:pPr>
              <w:pStyle w:val="Tijeloteksta"/>
              <w:jc w:val="center"/>
              <w:rPr>
                <w:b/>
                <w:sz w:val="24"/>
                <w:szCs w:val="24"/>
                <w:lang w:eastAsia="en-US"/>
              </w:rPr>
            </w:pPr>
            <w:r w:rsidRPr="00163DB8">
              <w:rPr>
                <w:b/>
                <w:sz w:val="24"/>
                <w:szCs w:val="24"/>
                <w:lang w:eastAsia="en-US"/>
              </w:rPr>
              <w:t>ž</w:t>
            </w:r>
            <w:r w:rsidR="00C8587A" w:rsidRPr="00163DB8">
              <w:rPr>
                <w:b/>
                <w:sz w:val="24"/>
                <w:szCs w:val="24"/>
                <w:lang w:eastAsia="en-US"/>
              </w:rPr>
              <w:t>ena</w:t>
            </w:r>
          </w:p>
        </w:tc>
        <w:tc>
          <w:tcPr>
            <w:tcW w:w="1675" w:type="dxa"/>
          </w:tcPr>
          <w:p w14:paraId="51524325" w14:textId="77777777" w:rsidR="00C8587A" w:rsidRPr="00163DB8" w:rsidRDefault="00C8587A" w:rsidP="00E31E83">
            <w:pPr>
              <w:pStyle w:val="Tijeloteksta"/>
              <w:jc w:val="center"/>
              <w:rPr>
                <w:b/>
                <w:sz w:val="24"/>
                <w:szCs w:val="24"/>
                <w:lang w:eastAsia="en-US"/>
              </w:rPr>
            </w:pPr>
            <w:r w:rsidRPr="00163DB8">
              <w:rPr>
                <w:b/>
                <w:sz w:val="24"/>
                <w:szCs w:val="24"/>
                <w:lang w:eastAsia="en-US"/>
              </w:rPr>
              <w:t xml:space="preserve">Ukupna broj </w:t>
            </w:r>
          </w:p>
          <w:p w14:paraId="5BE6D335" w14:textId="77777777" w:rsidR="00C8587A" w:rsidRPr="00163DB8" w:rsidRDefault="00C8587A" w:rsidP="00E31E83">
            <w:pPr>
              <w:pStyle w:val="Tijeloteksta"/>
              <w:jc w:val="center"/>
              <w:rPr>
                <w:b/>
                <w:sz w:val="24"/>
                <w:szCs w:val="24"/>
                <w:lang w:eastAsia="en-US"/>
              </w:rPr>
            </w:pPr>
            <w:r w:rsidRPr="00163DB8">
              <w:rPr>
                <w:b/>
                <w:sz w:val="24"/>
                <w:szCs w:val="24"/>
                <w:lang w:eastAsia="en-US"/>
              </w:rPr>
              <w:t>članova</w:t>
            </w:r>
          </w:p>
          <w:p w14:paraId="41418041" w14:textId="77777777" w:rsidR="00C8587A" w:rsidRPr="00163DB8" w:rsidRDefault="00C8587A" w:rsidP="00E31E83">
            <w:pPr>
              <w:pStyle w:val="Tijeloteksta"/>
              <w:jc w:val="center"/>
              <w:rPr>
                <w:b/>
                <w:sz w:val="24"/>
                <w:szCs w:val="24"/>
                <w:lang w:eastAsia="en-US"/>
              </w:rPr>
            </w:pPr>
          </w:p>
        </w:tc>
      </w:tr>
      <w:tr w:rsidR="00C8587A" w:rsidRPr="00163DB8" w14:paraId="0DAEF3E7" w14:textId="77777777" w:rsidTr="00E31E83">
        <w:trPr>
          <w:jc w:val="center"/>
        </w:trPr>
        <w:tc>
          <w:tcPr>
            <w:tcW w:w="3017" w:type="dxa"/>
          </w:tcPr>
          <w:p w14:paraId="6557070D" w14:textId="7B0DF91D" w:rsidR="00C8587A" w:rsidRPr="00163DB8" w:rsidRDefault="002D7399" w:rsidP="00BF77EE">
            <w:pPr>
              <w:pStyle w:val="Tijeloteksta"/>
              <w:jc w:val="left"/>
              <w:rPr>
                <w:sz w:val="24"/>
                <w:szCs w:val="24"/>
                <w:lang w:eastAsia="en-US"/>
              </w:rPr>
            </w:pPr>
            <w:r>
              <w:rPr>
                <w:sz w:val="24"/>
                <w:szCs w:val="24"/>
                <w:lang w:eastAsia="en-US"/>
              </w:rPr>
              <w:t>Hrvatska demokratska zajednica (HDZ)</w:t>
            </w:r>
          </w:p>
        </w:tc>
        <w:tc>
          <w:tcPr>
            <w:tcW w:w="2220" w:type="dxa"/>
          </w:tcPr>
          <w:p w14:paraId="56B66C64" w14:textId="77777777" w:rsidR="00C8587A" w:rsidRPr="00163DB8" w:rsidRDefault="00C8587A" w:rsidP="00E31E83">
            <w:pPr>
              <w:pStyle w:val="Tijeloteksta"/>
              <w:jc w:val="center"/>
              <w:rPr>
                <w:sz w:val="24"/>
                <w:szCs w:val="24"/>
                <w:lang w:eastAsia="en-US"/>
              </w:rPr>
            </w:pPr>
          </w:p>
          <w:p w14:paraId="2F691D08" w14:textId="38034C9D" w:rsidR="00C8587A" w:rsidRPr="00163DB8" w:rsidRDefault="002D7399" w:rsidP="00E31E83">
            <w:pPr>
              <w:pStyle w:val="Tijeloteksta"/>
              <w:jc w:val="center"/>
              <w:rPr>
                <w:sz w:val="24"/>
                <w:szCs w:val="24"/>
                <w:lang w:eastAsia="en-US"/>
              </w:rPr>
            </w:pPr>
            <w:r>
              <w:rPr>
                <w:sz w:val="24"/>
                <w:szCs w:val="24"/>
                <w:lang w:eastAsia="en-US"/>
              </w:rPr>
              <w:t>2</w:t>
            </w:r>
          </w:p>
        </w:tc>
        <w:tc>
          <w:tcPr>
            <w:tcW w:w="2204" w:type="dxa"/>
          </w:tcPr>
          <w:p w14:paraId="6E8B9A8A" w14:textId="77777777" w:rsidR="00C8587A" w:rsidRPr="00163DB8" w:rsidRDefault="00C8587A" w:rsidP="00E31E83">
            <w:pPr>
              <w:pStyle w:val="Tijeloteksta"/>
              <w:jc w:val="center"/>
              <w:rPr>
                <w:sz w:val="24"/>
                <w:szCs w:val="24"/>
                <w:lang w:eastAsia="en-US"/>
              </w:rPr>
            </w:pPr>
          </w:p>
          <w:p w14:paraId="7CB489C7" w14:textId="7AE21459" w:rsidR="00C8587A" w:rsidRPr="00163DB8" w:rsidRDefault="002D7399" w:rsidP="00E31E83">
            <w:pPr>
              <w:pStyle w:val="Tijeloteksta"/>
              <w:jc w:val="center"/>
              <w:rPr>
                <w:sz w:val="24"/>
                <w:szCs w:val="24"/>
                <w:lang w:eastAsia="en-US"/>
              </w:rPr>
            </w:pPr>
            <w:r>
              <w:rPr>
                <w:sz w:val="24"/>
                <w:szCs w:val="24"/>
                <w:lang w:eastAsia="en-US"/>
              </w:rPr>
              <w:t>1</w:t>
            </w:r>
          </w:p>
        </w:tc>
        <w:tc>
          <w:tcPr>
            <w:tcW w:w="1675" w:type="dxa"/>
          </w:tcPr>
          <w:p w14:paraId="35169BFE" w14:textId="77777777" w:rsidR="00C8587A" w:rsidRPr="00163DB8" w:rsidRDefault="00C8587A" w:rsidP="00E31E83">
            <w:pPr>
              <w:pStyle w:val="Tijeloteksta"/>
              <w:jc w:val="center"/>
              <w:rPr>
                <w:sz w:val="24"/>
                <w:szCs w:val="24"/>
                <w:lang w:eastAsia="en-US"/>
              </w:rPr>
            </w:pPr>
          </w:p>
          <w:p w14:paraId="3F6B2D20" w14:textId="2941339C" w:rsidR="00C8587A" w:rsidRPr="00163DB8" w:rsidRDefault="002D7399" w:rsidP="00E31E83">
            <w:pPr>
              <w:pStyle w:val="Tijeloteksta"/>
              <w:jc w:val="center"/>
              <w:rPr>
                <w:sz w:val="24"/>
                <w:szCs w:val="24"/>
                <w:lang w:eastAsia="en-US"/>
              </w:rPr>
            </w:pPr>
            <w:r>
              <w:rPr>
                <w:sz w:val="24"/>
                <w:szCs w:val="24"/>
                <w:lang w:eastAsia="en-US"/>
              </w:rPr>
              <w:t>3</w:t>
            </w:r>
          </w:p>
        </w:tc>
      </w:tr>
      <w:tr w:rsidR="00C8587A" w:rsidRPr="00163DB8" w14:paraId="4AF77DB2" w14:textId="77777777" w:rsidTr="00E31E83">
        <w:trPr>
          <w:jc w:val="center"/>
        </w:trPr>
        <w:tc>
          <w:tcPr>
            <w:tcW w:w="3017" w:type="dxa"/>
          </w:tcPr>
          <w:p w14:paraId="3718E0BA" w14:textId="5736397E" w:rsidR="00C8587A" w:rsidRPr="00163DB8" w:rsidRDefault="002D7399" w:rsidP="00BF77EE">
            <w:pPr>
              <w:pStyle w:val="Tijeloteksta"/>
              <w:jc w:val="left"/>
              <w:rPr>
                <w:sz w:val="24"/>
                <w:szCs w:val="24"/>
                <w:lang w:eastAsia="en-US"/>
              </w:rPr>
            </w:pPr>
            <w:r>
              <w:rPr>
                <w:sz w:val="24"/>
                <w:szCs w:val="24"/>
                <w:lang w:eastAsia="en-US"/>
              </w:rPr>
              <w:t>Hrvatska stranka umirovljenika (HSU)</w:t>
            </w:r>
          </w:p>
        </w:tc>
        <w:tc>
          <w:tcPr>
            <w:tcW w:w="2220" w:type="dxa"/>
          </w:tcPr>
          <w:p w14:paraId="5071FF55" w14:textId="77777777" w:rsidR="00C8587A" w:rsidRPr="00163DB8" w:rsidRDefault="00C8587A" w:rsidP="00E31E83">
            <w:pPr>
              <w:pStyle w:val="Tijeloteksta"/>
              <w:jc w:val="center"/>
              <w:rPr>
                <w:sz w:val="24"/>
                <w:szCs w:val="24"/>
                <w:lang w:eastAsia="en-US"/>
              </w:rPr>
            </w:pPr>
          </w:p>
          <w:p w14:paraId="405D4FD2" w14:textId="569F751D" w:rsidR="00C8587A" w:rsidRPr="00163DB8" w:rsidRDefault="00BF77EE" w:rsidP="00E31E83">
            <w:pPr>
              <w:pStyle w:val="Tijeloteksta"/>
              <w:jc w:val="center"/>
              <w:rPr>
                <w:sz w:val="24"/>
                <w:szCs w:val="24"/>
                <w:lang w:eastAsia="en-US"/>
              </w:rPr>
            </w:pPr>
            <w:r w:rsidRPr="00163DB8">
              <w:rPr>
                <w:sz w:val="24"/>
                <w:szCs w:val="24"/>
                <w:lang w:eastAsia="en-US"/>
              </w:rPr>
              <w:t>1</w:t>
            </w:r>
          </w:p>
        </w:tc>
        <w:tc>
          <w:tcPr>
            <w:tcW w:w="2204" w:type="dxa"/>
          </w:tcPr>
          <w:p w14:paraId="56CC135D" w14:textId="77777777" w:rsidR="00C8587A" w:rsidRPr="00163DB8" w:rsidRDefault="00C8587A" w:rsidP="00E31E83">
            <w:pPr>
              <w:pStyle w:val="Tijeloteksta"/>
              <w:jc w:val="center"/>
              <w:rPr>
                <w:sz w:val="24"/>
                <w:szCs w:val="24"/>
                <w:lang w:eastAsia="en-US"/>
              </w:rPr>
            </w:pPr>
          </w:p>
          <w:p w14:paraId="6E0FBC16" w14:textId="3570D90F" w:rsidR="00C8587A" w:rsidRPr="00163DB8" w:rsidRDefault="002D7399" w:rsidP="00E31E83">
            <w:pPr>
              <w:pStyle w:val="Tijeloteksta"/>
              <w:jc w:val="center"/>
              <w:rPr>
                <w:sz w:val="24"/>
                <w:szCs w:val="24"/>
                <w:lang w:eastAsia="en-US"/>
              </w:rPr>
            </w:pPr>
            <w:r>
              <w:rPr>
                <w:sz w:val="24"/>
                <w:szCs w:val="24"/>
                <w:lang w:eastAsia="en-US"/>
              </w:rPr>
              <w:t>0</w:t>
            </w:r>
          </w:p>
        </w:tc>
        <w:tc>
          <w:tcPr>
            <w:tcW w:w="1675" w:type="dxa"/>
          </w:tcPr>
          <w:p w14:paraId="6CAF8802" w14:textId="77777777" w:rsidR="00C8587A" w:rsidRPr="00163DB8" w:rsidRDefault="00C8587A" w:rsidP="00E31E83">
            <w:pPr>
              <w:pStyle w:val="Tijeloteksta"/>
              <w:jc w:val="center"/>
              <w:rPr>
                <w:sz w:val="24"/>
                <w:szCs w:val="24"/>
                <w:lang w:eastAsia="en-US"/>
              </w:rPr>
            </w:pPr>
          </w:p>
          <w:p w14:paraId="2501A3D9" w14:textId="5A0AFF33" w:rsidR="00C8587A" w:rsidRPr="00163DB8" w:rsidRDefault="002D7399" w:rsidP="00E31E83">
            <w:pPr>
              <w:pStyle w:val="Tijeloteksta"/>
              <w:jc w:val="center"/>
              <w:rPr>
                <w:sz w:val="24"/>
                <w:szCs w:val="24"/>
                <w:lang w:eastAsia="en-US"/>
              </w:rPr>
            </w:pPr>
            <w:r>
              <w:rPr>
                <w:sz w:val="24"/>
                <w:szCs w:val="24"/>
                <w:lang w:eastAsia="en-US"/>
              </w:rPr>
              <w:t>1</w:t>
            </w:r>
          </w:p>
        </w:tc>
      </w:tr>
      <w:tr w:rsidR="00C8587A" w:rsidRPr="00163DB8" w14:paraId="62B8A629" w14:textId="77777777" w:rsidTr="00E31E83">
        <w:trPr>
          <w:jc w:val="center"/>
        </w:trPr>
        <w:tc>
          <w:tcPr>
            <w:tcW w:w="3017" w:type="dxa"/>
          </w:tcPr>
          <w:p w14:paraId="139DE28B" w14:textId="68C6E100" w:rsidR="00C8587A" w:rsidRPr="00163DB8" w:rsidRDefault="002D7399" w:rsidP="00BF77EE">
            <w:pPr>
              <w:pStyle w:val="Tijeloteksta"/>
              <w:jc w:val="left"/>
              <w:rPr>
                <w:sz w:val="24"/>
                <w:szCs w:val="24"/>
                <w:lang w:eastAsia="en-US"/>
              </w:rPr>
            </w:pPr>
            <w:r>
              <w:rPr>
                <w:sz w:val="24"/>
                <w:szCs w:val="24"/>
                <w:lang w:eastAsia="en-US"/>
              </w:rPr>
              <w:t>Hrvatska stranka prava (HSP)</w:t>
            </w:r>
          </w:p>
        </w:tc>
        <w:tc>
          <w:tcPr>
            <w:tcW w:w="2220" w:type="dxa"/>
          </w:tcPr>
          <w:p w14:paraId="2B08AFE9" w14:textId="77777777" w:rsidR="00C8587A" w:rsidRPr="00163DB8" w:rsidRDefault="00C8587A" w:rsidP="00E31E83">
            <w:pPr>
              <w:pStyle w:val="Tijeloteksta"/>
              <w:jc w:val="center"/>
              <w:rPr>
                <w:sz w:val="24"/>
                <w:szCs w:val="24"/>
                <w:lang w:eastAsia="en-US"/>
              </w:rPr>
            </w:pPr>
          </w:p>
          <w:p w14:paraId="07514714" w14:textId="4F76BA96" w:rsidR="00C8587A" w:rsidRPr="00163DB8" w:rsidRDefault="002D7399" w:rsidP="00E31E83">
            <w:pPr>
              <w:pStyle w:val="Tijeloteksta"/>
              <w:jc w:val="center"/>
              <w:rPr>
                <w:sz w:val="24"/>
                <w:szCs w:val="24"/>
                <w:lang w:eastAsia="en-US"/>
              </w:rPr>
            </w:pPr>
            <w:r>
              <w:rPr>
                <w:sz w:val="24"/>
                <w:szCs w:val="24"/>
                <w:lang w:eastAsia="en-US"/>
              </w:rPr>
              <w:t>1</w:t>
            </w:r>
          </w:p>
        </w:tc>
        <w:tc>
          <w:tcPr>
            <w:tcW w:w="2204" w:type="dxa"/>
          </w:tcPr>
          <w:p w14:paraId="54207E0A" w14:textId="77777777" w:rsidR="00C8587A" w:rsidRPr="00163DB8" w:rsidRDefault="00C8587A" w:rsidP="00E31E83">
            <w:pPr>
              <w:pStyle w:val="Tijeloteksta"/>
              <w:jc w:val="center"/>
              <w:rPr>
                <w:sz w:val="24"/>
                <w:szCs w:val="24"/>
                <w:lang w:eastAsia="en-US"/>
              </w:rPr>
            </w:pPr>
          </w:p>
          <w:p w14:paraId="7D90332D" w14:textId="071F1A7C" w:rsidR="00C8587A" w:rsidRPr="00163DB8" w:rsidRDefault="002D7399" w:rsidP="00E31E83">
            <w:pPr>
              <w:pStyle w:val="Tijeloteksta"/>
              <w:jc w:val="center"/>
              <w:rPr>
                <w:sz w:val="24"/>
                <w:szCs w:val="24"/>
                <w:lang w:eastAsia="en-US"/>
              </w:rPr>
            </w:pPr>
            <w:r>
              <w:rPr>
                <w:sz w:val="24"/>
                <w:szCs w:val="24"/>
                <w:lang w:eastAsia="en-US"/>
              </w:rPr>
              <w:t>0</w:t>
            </w:r>
          </w:p>
        </w:tc>
        <w:tc>
          <w:tcPr>
            <w:tcW w:w="1675" w:type="dxa"/>
          </w:tcPr>
          <w:p w14:paraId="2008349E" w14:textId="77777777" w:rsidR="00C8587A" w:rsidRPr="00163DB8" w:rsidRDefault="00C8587A" w:rsidP="00E31E83">
            <w:pPr>
              <w:pStyle w:val="Tijeloteksta"/>
              <w:jc w:val="center"/>
              <w:rPr>
                <w:sz w:val="24"/>
                <w:szCs w:val="24"/>
                <w:lang w:eastAsia="en-US"/>
              </w:rPr>
            </w:pPr>
          </w:p>
          <w:p w14:paraId="75D76132" w14:textId="0F582682" w:rsidR="00C8587A" w:rsidRPr="00163DB8" w:rsidRDefault="002D7399" w:rsidP="00E31E83">
            <w:pPr>
              <w:pStyle w:val="Tijeloteksta"/>
              <w:jc w:val="center"/>
              <w:rPr>
                <w:sz w:val="24"/>
                <w:szCs w:val="24"/>
                <w:lang w:eastAsia="en-US"/>
              </w:rPr>
            </w:pPr>
            <w:r>
              <w:rPr>
                <w:sz w:val="24"/>
                <w:szCs w:val="24"/>
                <w:lang w:eastAsia="en-US"/>
              </w:rPr>
              <w:t>1</w:t>
            </w:r>
          </w:p>
        </w:tc>
      </w:tr>
      <w:tr w:rsidR="00C8587A" w:rsidRPr="00163DB8" w14:paraId="7FECB91F" w14:textId="77777777" w:rsidTr="00E31E83">
        <w:trPr>
          <w:jc w:val="center"/>
        </w:trPr>
        <w:tc>
          <w:tcPr>
            <w:tcW w:w="3017" w:type="dxa"/>
          </w:tcPr>
          <w:p w14:paraId="60CB5B6B" w14:textId="472F26A3" w:rsidR="00C8587A" w:rsidRPr="00163DB8" w:rsidRDefault="006A4D58" w:rsidP="00BF77EE">
            <w:pPr>
              <w:pStyle w:val="Tijeloteksta"/>
              <w:jc w:val="left"/>
              <w:rPr>
                <w:sz w:val="24"/>
                <w:szCs w:val="24"/>
                <w:lang w:eastAsia="en-US"/>
              </w:rPr>
            </w:pPr>
            <w:r>
              <w:rPr>
                <w:sz w:val="24"/>
                <w:szCs w:val="24"/>
                <w:lang w:eastAsia="en-US"/>
              </w:rPr>
              <w:t>Socijaldemokratska partija Hrvatske (SDP)</w:t>
            </w:r>
          </w:p>
        </w:tc>
        <w:tc>
          <w:tcPr>
            <w:tcW w:w="2220" w:type="dxa"/>
          </w:tcPr>
          <w:p w14:paraId="747F009E" w14:textId="77777777" w:rsidR="00C8587A" w:rsidRPr="00163DB8" w:rsidRDefault="00C8587A" w:rsidP="00E31E83">
            <w:pPr>
              <w:pStyle w:val="Tijeloteksta"/>
              <w:jc w:val="center"/>
              <w:rPr>
                <w:sz w:val="24"/>
                <w:szCs w:val="24"/>
                <w:lang w:eastAsia="en-US"/>
              </w:rPr>
            </w:pPr>
          </w:p>
          <w:p w14:paraId="4747AB0E" w14:textId="61A5E2E8" w:rsidR="00C8587A" w:rsidRPr="00163DB8" w:rsidRDefault="00BC7304" w:rsidP="00E31E83">
            <w:pPr>
              <w:pStyle w:val="Tijeloteksta"/>
              <w:jc w:val="center"/>
              <w:rPr>
                <w:sz w:val="24"/>
                <w:szCs w:val="24"/>
                <w:lang w:eastAsia="en-US"/>
              </w:rPr>
            </w:pPr>
            <w:r>
              <w:rPr>
                <w:sz w:val="24"/>
                <w:szCs w:val="24"/>
                <w:lang w:eastAsia="en-US"/>
              </w:rPr>
              <w:t>3</w:t>
            </w:r>
          </w:p>
        </w:tc>
        <w:tc>
          <w:tcPr>
            <w:tcW w:w="2204" w:type="dxa"/>
          </w:tcPr>
          <w:p w14:paraId="237A0317" w14:textId="77777777" w:rsidR="00C8587A" w:rsidRPr="00163DB8" w:rsidRDefault="00C8587A" w:rsidP="00E31E83">
            <w:pPr>
              <w:pStyle w:val="Tijeloteksta"/>
              <w:jc w:val="center"/>
              <w:rPr>
                <w:sz w:val="24"/>
                <w:szCs w:val="24"/>
                <w:lang w:eastAsia="en-US"/>
              </w:rPr>
            </w:pPr>
          </w:p>
          <w:p w14:paraId="1AD55C61" w14:textId="0A0F8A90" w:rsidR="00C8587A" w:rsidRPr="00163DB8" w:rsidRDefault="00BC7304" w:rsidP="00E31E83">
            <w:pPr>
              <w:pStyle w:val="Tijeloteksta"/>
              <w:jc w:val="center"/>
              <w:rPr>
                <w:sz w:val="24"/>
                <w:szCs w:val="24"/>
                <w:lang w:eastAsia="en-US"/>
              </w:rPr>
            </w:pPr>
            <w:r>
              <w:rPr>
                <w:sz w:val="24"/>
                <w:szCs w:val="24"/>
                <w:lang w:eastAsia="en-US"/>
              </w:rPr>
              <w:t>3</w:t>
            </w:r>
          </w:p>
        </w:tc>
        <w:tc>
          <w:tcPr>
            <w:tcW w:w="1675" w:type="dxa"/>
          </w:tcPr>
          <w:p w14:paraId="0645B29C" w14:textId="77777777" w:rsidR="00C8587A" w:rsidRPr="00163DB8" w:rsidRDefault="00C8587A" w:rsidP="00E31E83">
            <w:pPr>
              <w:pStyle w:val="Tijeloteksta"/>
              <w:jc w:val="center"/>
              <w:rPr>
                <w:sz w:val="24"/>
                <w:szCs w:val="24"/>
                <w:lang w:eastAsia="en-US"/>
              </w:rPr>
            </w:pPr>
          </w:p>
          <w:p w14:paraId="3AE1B515" w14:textId="6B2D940F" w:rsidR="00C8587A" w:rsidRPr="00163DB8" w:rsidRDefault="006A4D58" w:rsidP="00E31E83">
            <w:pPr>
              <w:pStyle w:val="Tijeloteksta"/>
              <w:jc w:val="center"/>
              <w:rPr>
                <w:sz w:val="24"/>
                <w:szCs w:val="24"/>
                <w:lang w:eastAsia="en-US"/>
              </w:rPr>
            </w:pPr>
            <w:r>
              <w:rPr>
                <w:sz w:val="24"/>
                <w:szCs w:val="24"/>
                <w:lang w:eastAsia="en-US"/>
              </w:rPr>
              <w:t>6</w:t>
            </w:r>
          </w:p>
        </w:tc>
      </w:tr>
      <w:tr w:rsidR="00C8587A" w:rsidRPr="00163DB8" w14:paraId="1FC0CCCA" w14:textId="77777777" w:rsidTr="00E31E83">
        <w:trPr>
          <w:jc w:val="center"/>
        </w:trPr>
        <w:tc>
          <w:tcPr>
            <w:tcW w:w="3017" w:type="dxa"/>
          </w:tcPr>
          <w:p w14:paraId="3786D9F1" w14:textId="1D0B7F74" w:rsidR="00C8587A" w:rsidRPr="00163DB8" w:rsidRDefault="006A4D58" w:rsidP="00BF77EE">
            <w:pPr>
              <w:pStyle w:val="Tijeloteksta"/>
              <w:jc w:val="left"/>
              <w:rPr>
                <w:sz w:val="24"/>
                <w:szCs w:val="24"/>
                <w:lang w:eastAsia="en-US"/>
              </w:rPr>
            </w:pPr>
            <w:r>
              <w:rPr>
                <w:sz w:val="24"/>
                <w:szCs w:val="24"/>
                <w:lang w:eastAsia="en-US"/>
              </w:rPr>
              <w:t>Kandidacijska lista grupe birača (nositelj liste: Ivica Knežević)</w:t>
            </w:r>
          </w:p>
        </w:tc>
        <w:tc>
          <w:tcPr>
            <w:tcW w:w="2220" w:type="dxa"/>
          </w:tcPr>
          <w:p w14:paraId="4B63B9CF" w14:textId="7997C472" w:rsidR="00C8587A" w:rsidRPr="00163DB8" w:rsidRDefault="006A4D58" w:rsidP="00E31E83">
            <w:pPr>
              <w:pStyle w:val="Tijeloteksta"/>
              <w:jc w:val="center"/>
              <w:rPr>
                <w:sz w:val="24"/>
                <w:szCs w:val="24"/>
                <w:lang w:eastAsia="en-US"/>
              </w:rPr>
            </w:pPr>
            <w:r>
              <w:rPr>
                <w:sz w:val="24"/>
                <w:szCs w:val="24"/>
                <w:lang w:eastAsia="en-US"/>
              </w:rPr>
              <w:t>2</w:t>
            </w:r>
          </w:p>
          <w:p w14:paraId="4BDC0A13" w14:textId="77777777" w:rsidR="00C8587A" w:rsidRPr="00163DB8" w:rsidRDefault="00C8587A" w:rsidP="00E31E83">
            <w:pPr>
              <w:pStyle w:val="Tijeloteksta"/>
              <w:jc w:val="center"/>
              <w:rPr>
                <w:sz w:val="24"/>
                <w:szCs w:val="24"/>
                <w:lang w:eastAsia="en-US"/>
              </w:rPr>
            </w:pPr>
          </w:p>
        </w:tc>
        <w:tc>
          <w:tcPr>
            <w:tcW w:w="2204" w:type="dxa"/>
          </w:tcPr>
          <w:p w14:paraId="537B4681" w14:textId="3A1BFA4B" w:rsidR="00C8587A" w:rsidRPr="00163DB8" w:rsidRDefault="00BF77EE" w:rsidP="00E31E83">
            <w:pPr>
              <w:pStyle w:val="Tijeloteksta"/>
              <w:jc w:val="center"/>
              <w:rPr>
                <w:sz w:val="24"/>
                <w:szCs w:val="24"/>
                <w:lang w:eastAsia="en-US"/>
              </w:rPr>
            </w:pPr>
            <w:r w:rsidRPr="00163DB8">
              <w:rPr>
                <w:sz w:val="24"/>
                <w:szCs w:val="24"/>
                <w:lang w:eastAsia="en-US"/>
              </w:rPr>
              <w:t>0</w:t>
            </w:r>
          </w:p>
          <w:p w14:paraId="3B4CA745" w14:textId="77777777" w:rsidR="00C8587A" w:rsidRPr="00163DB8" w:rsidRDefault="00C8587A" w:rsidP="00E31E83">
            <w:pPr>
              <w:pStyle w:val="Tijeloteksta"/>
              <w:jc w:val="center"/>
              <w:rPr>
                <w:sz w:val="24"/>
                <w:szCs w:val="24"/>
                <w:lang w:eastAsia="en-US"/>
              </w:rPr>
            </w:pPr>
          </w:p>
        </w:tc>
        <w:tc>
          <w:tcPr>
            <w:tcW w:w="1675" w:type="dxa"/>
          </w:tcPr>
          <w:p w14:paraId="06B9C4D5" w14:textId="2949E3F6" w:rsidR="00C8587A" w:rsidRPr="00163DB8" w:rsidRDefault="006A4D58" w:rsidP="00E31E83">
            <w:pPr>
              <w:pStyle w:val="Tijeloteksta"/>
              <w:jc w:val="center"/>
              <w:rPr>
                <w:sz w:val="24"/>
                <w:szCs w:val="24"/>
                <w:lang w:eastAsia="en-US"/>
              </w:rPr>
            </w:pPr>
            <w:r>
              <w:rPr>
                <w:sz w:val="24"/>
                <w:szCs w:val="24"/>
                <w:lang w:eastAsia="en-US"/>
              </w:rPr>
              <w:t>2</w:t>
            </w:r>
          </w:p>
        </w:tc>
      </w:tr>
      <w:tr w:rsidR="00C8587A" w:rsidRPr="00163DB8" w14:paraId="42A87E2A" w14:textId="77777777" w:rsidTr="00E31E83">
        <w:trPr>
          <w:jc w:val="center"/>
        </w:trPr>
        <w:tc>
          <w:tcPr>
            <w:tcW w:w="3017" w:type="dxa"/>
          </w:tcPr>
          <w:p w14:paraId="0F2FC320" w14:textId="77777777" w:rsidR="00C8587A" w:rsidRPr="00163DB8" w:rsidRDefault="00C8587A" w:rsidP="00E9192A">
            <w:pPr>
              <w:pStyle w:val="Tijeloteksta"/>
              <w:jc w:val="center"/>
              <w:rPr>
                <w:b/>
                <w:sz w:val="28"/>
                <w:szCs w:val="28"/>
                <w:lang w:eastAsia="en-US"/>
              </w:rPr>
            </w:pPr>
            <w:r w:rsidRPr="00163DB8">
              <w:rPr>
                <w:b/>
                <w:sz w:val="28"/>
                <w:szCs w:val="28"/>
                <w:lang w:eastAsia="en-US"/>
              </w:rPr>
              <w:t>UKUPNO</w:t>
            </w:r>
          </w:p>
        </w:tc>
        <w:tc>
          <w:tcPr>
            <w:tcW w:w="2220" w:type="dxa"/>
          </w:tcPr>
          <w:p w14:paraId="365D579A" w14:textId="1402B4CA" w:rsidR="00C8587A" w:rsidRPr="00163DB8" w:rsidRDefault="00BC7304" w:rsidP="00E31E83">
            <w:pPr>
              <w:pStyle w:val="Tijeloteksta"/>
              <w:jc w:val="center"/>
              <w:rPr>
                <w:b/>
                <w:sz w:val="28"/>
                <w:szCs w:val="28"/>
                <w:lang w:eastAsia="en-US"/>
              </w:rPr>
            </w:pPr>
            <w:r>
              <w:rPr>
                <w:b/>
                <w:sz w:val="28"/>
                <w:szCs w:val="28"/>
                <w:lang w:eastAsia="en-US"/>
              </w:rPr>
              <w:t>9</w:t>
            </w:r>
          </w:p>
        </w:tc>
        <w:tc>
          <w:tcPr>
            <w:tcW w:w="2204" w:type="dxa"/>
          </w:tcPr>
          <w:p w14:paraId="35F67288" w14:textId="51D581CC" w:rsidR="00C8587A" w:rsidRPr="00163DB8" w:rsidRDefault="00BC7304" w:rsidP="00E31E83">
            <w:pPr>
              <w:pStyle w:val="Tijeloteksta"/>
              <w:jc w:val="center"/>
              <w:rPr>
                <w:b/>
                <w:sz w:val="28"/>
                <w:szCs w:val="28"/>
                <w:lang w:eastAsia="en-US"/>
              </w:rPr>
            </w:pPr>
            <w:r>
              <w:rPr>
                <w:b/>
                <w:sz w:val="28"/>
                <w:szCs w:val="28"/>
                <w:lang w:eastAsia="en-US"/>
              </w:rPr>
              <w:t>4</w:t>
            </w:r>
          </w:p>
        </w:tc>
        <w:tc>
          <w:tcPr>
            <w:tcW w:w="1675" w:type="dxa"/>
          </w:tcPr>
          <w:p w14:paraId="4A949F1A" w14:textId="77777777" w:rsidR="00C8587A" w:rsidRPr="00163DB8" w:rsidRDefault="00C8587A" w:rsidP="00E31E83">
            <w:pPr>
              <w:pStyle w:val="Tijeloteksta"/>
              <w:jc w:val="center"/>
              <w:rPr>
                <w:b/>
                <w:sz w:val="28"/>
                <w:szCs w:val="28"/>
                <w:lang w:eastAsia="en-US"/>
              </w:rPr>
            </w:pPr>
            <w:r w:rsidRPr="00163DB8">
              <w:rPr>
                <w:b/>
                <w:sz w:val="28"/>
                <w:szCs w:val="28"/>
                <w:lang w:eastAsia="en-US"/>
              </w:rPr>
              <w:t>13</w:t>
            </w:r>
          </w:p>
        </w:tc>
      </w:tr>
    </w:tbl>
    <w:p w14:paraId="54FCE34E" w14:textId="77777777" w:rsidR="001D7F3A" w:rsidRPr="00163DB8" w:rsidRDefault="001D7F3A" w:rsidP="007D2EE7">
      <w:pPr>
        <w:rPr>
          <w:b/>
          <w:sz w:val="24"/>
          <w:szCs w:val="24"/>
        </w:rPr>
      </w:pPr>
    </w:p>
    <w:p w14:paraId="04A8FD35" w14:textId="77777777" w:rsidR="00C8587A" w:rsidRPr="00163DB8" w:rsidRDefault="00207813" w:rsidP="00C8587A">
      <w:pPr>
        <w:jc w:val="center"/>
        <w:rPr>
          <w:b/>
          <w:sz w:val="24"/>
          <w:szCs w:val="24"/>
        </w:rPr>
      </w:pPr>
      <w:r w:rsidRPr="00163DB8">
        <w:rPr>
          <w:b/>
          <w:sz w:val="24"/>
          <w:szCs w:val="24"/>
        </w:rPr>
        <w:t>Članak 9</w:t>
      </w:r>
      <w:r w:rsidR="00C8587A" w:rsidRPr="00163DB8">
        <w:rPr>
          <w:b/>
          <w:sz w:val="24"/>
          <w:szCs w:val="24"/>
        </w:rPr>
        <w:t>.</w:t>
      </w:r>
    </w:p>
    <w:p w14:paraId="620693DF" w14:textId="77777777" w:rsidR="00C8587A" w:rsidRPr="00163DB8" w:rsidRDefault="001D7F3A" w:rsidP="00C8587A">
      <w:pPr>
        <w:pStyle w:val="Bezproreda"/>
        <w:jc w:val="both"/>
        <w:rPr>
          <w:b/>
          <w:color w:val="000000"/>
          <w:sz w:val="32"/>
          <w:szCs w:val="24"/>
          <w:lang w:val="hr-HR"/>
        </w:rPr>
      </w:pPr>
      <w:r w:rsidRPr="00163DB8">
        <w:rPr>
          <w:sz w:val="24"/>
          <w:shd w:val="clear" w:color="auto" w:fill="FFFFFF"/>
          <w:lang w:val="hr-HR"/>
        </w:rPr>
        <w:t>Sredstva</w:t>
      </w:r>
      <w:r w:rsidR="00C8587A" w:rsidRPr="00163DB8">
        <w:rPr>
          <w:sz w:val="24"/>
          <w:shd w:val="clear" w:color="auto" w:fill="FFFFFF"/>
          <w:lang w:val="hr-HR"/>
        </w:rPr>
        <w:t xml:space="preserve"> se</w:t>
      </w:r>
      <w:r w:rsidRPr="00163DB8">
        <w:rPr>
          <w:sz w:val="24"/>
          <w:shd w:val="clear" w:color="auto" w:fill="FFFFFF"/>
          <w:lang w:val="hr-HR"/>
        </w:rPr>
        <w:t xml:space="preserve"> raspoređuju na sljedeći način:</w:t>
      </w:r>
    </w:p>
    <w:tbl>
      <w:tblPr>
        <w:tblStyle w:val="Reetkatablice"/>
        <w:tblW w:w="0" w:type="auto"/>
        <w:tblLook w:val="04A0" w:firstRow="1" w:lastRow="0" w:firstColumn="1" w:lastColumn="0" w:noHBand="0" w:noVBand="1"/>
      </w:tblPr>
      <w:tblGrid>
        <w:gridCol w:w="2265"/>
        <w:gridCol w:w="2265"/>
        <w:gridCol w:w="2266"/>
        <w:gridCol w:w="2266"/>
      </w:tblGrid>
      <w:tr w:rsidR="00B837FB" w:rsidRPr="00163DB8" w14:paraId="246B732B" w14:textId="77777777" w:rsidTr="00B837FB">
        <w:tc>
          <w:tcPr>
            <w:tcW w:w="2265" w:type="dxa"/>
          </w:tcPr>
          <w:p w14:paraId="5BAFCEBB" w14:textId="77777777" w:rsidR="00B837FB" w:rsidRPr="00163DB8" w:rsidRDefault="00B837FB" w:rsidP="007521B6">
            <w:pPr>
              <w:jc w:val="center"/>
              <w:rPr>
                <w:sz w:val="24"/>
                <w:szCs w:val="24"/>
              </w:rPr>
            </w:pPr>
            <w:r w:rsidRPr="00163DB8">
              <w:rPr>
                <w:sz w:val="24"/>
                <w:szCs w:val="24"/>
              </w:rPr>
              <w:t>Naziv stranke</w:t>
            </w:r>
            <w:r w:rsidR="007D2EE7" w:rsidRPr="00163DB8">
              <w:rPr>
                <w:sz w:val="24"/>
                <w:szCs w:val="24"/>
              </w:rPr>
              <w:t>/nezavisne liste</w:t>
            </w:r>
            <w:r w:rsidRPr="00163DB8">
              <w:rPr>
                <w:sz w:val="24"/>
                <w:szCs w:val="24"/>
              </w:rPr>
              <w:t xml:space="preserve"> i skraćeni naziv</w:t>
            </w:r>
          </w:p>
        </w:tc>
        <w:tc>
          <w:tcPr>
            <w:tcW w:w="2265" w:type="dxa"/>
            <w:tcBorders>
              <w:right w:val="nil"/>
            </w:tcBorders>
          </w:tcPr>
          <w:p w14:paraId="029AC8E2" w14:textId="77777777" w:rsidR="00B837FB" w:rsidRPr="00163DB8" w:rsidRDefault="00B837FB" w:rsidP="007521B6">
            <w:pPr>
              <w:jc w:val="center"/>
              <w:rPr>
                <w:sz w:val="24"/>
                <w:szCs w:val="24"/>
              </w:rPr>
            </w:pPr>
            <w:r w:rsidRPr="00163DB8">
              <w:rPr>
                <w:sz w:val="24"/>
                <w:szCs w:val="24"/>
              </w:rPr>
              <w:t>Broj vijećnika/ca</w:t>
            </w:r>
          </w:p>
        </w:tc>
        <w:tc>
          <w:tcPr>
            <w:tcW w:w="2266" w:type="dxa"/>
            <w:tcBorders>
              <w:left w:val="nil"/>
            </w:tcBorders>
          </w:tcPr>
          <w:p w14:paraId="07193DA1" w14:textId="77777777" w:rsidR="00B837FB" w:rsidRPr="00163DB8" w:rsidRDefault="00B837FB" w:rsidP="007521B6">
            <w:pPr>
              <w:jc w:val="center"/>
              <w:rPr>
                <w:sz w:val="24"/>
                <w:szCs w:val="24"/>
              </w:rPr>
            </w:pPr>
          </w:p>
        </w:tc>
        <w:tc>
          <w:tcPr>
            <w:tcW w:w="2266" w:type="dxa"/>
          </w:tcPr>
          <w:p w14:paraId="6E5DED74" w14:textId="77777777" w:rsidR="00B837FB" w:rsidRPr="00163DB8" w:rsidRDefault="00B837FB" w:rsidP="007521B6">
            <w:pPr>
              <w:jc w:val="center"/>
              <w:rPr>
                <w:sz w:val="24"/>
                <w:szCs w:val="24"/>
              </w:rPr>
            </w:pPr>
            <w:r w:rsidRPr="00163DB8">
              <w:rPr>
                <w:sz w:val="24"/>
                <w:szCs w:val="24"/>
              </w:rPr>
              <w:t>Ukupan iznos osiguranih sredstava</w:t>
            </w:r>
          </w:p>
        </w:tc>
      </w:tr>
      <w:tr w:rsidR="00B837FB" w:rsidRPr="00163DB8" w14:paraId="1F6FDE49" w14:textId="77777777" w:rsidTr="00092937">
        <w:tc>
          <w:tcPr>
            <w:tcW w:w="2265" w:type="dxa"/>
            <w:shd w:val="clear" w:color="auto" w:fill="BFBFBF" w:themeFill="background1" w:themeFillShade="BF"/>
          </w:tcPr>
          <w:p w14:paraId="492E02E0" w14:textId="77777777" w:rsidR="00B837FB" w:rsidRPr="00163DB8" w:rsidRDefault="00B837FB" w:rsidP="007521B6">
            <w:pPr>
              <w:jc w:val="center"/>
              <w:rPr>
                <w:sz w:val="24"/>
                <w:szCs w:val="24"/>
              </w:rPr>
            </w:pPr>
          </w:p>
        </w:tc>
        <w:tc>
          <w:tcPr>
            <w:tcW w:w="2265" w:type="dxa"/>
          </w:tcPr>
          <w:p w14:paraId="05312571" w14:textId="77777777" w:rsidR="00B837FB" w:rsidRPr="00163DB8" w:rsidRDefault="00B837FB" w:rsidP="007521B6">
            <w:pPr>
              <w:jc w:val="center"/>
              <w:rPr>
                <w:sz w:val="24"/>
                <w:szCs w:val="24"/>
              </w:rPr>
            </w:pPr>
            <w:r w:rsidRPr="00163DB8">
              <w:rPr>
                <w:sz w:val="24"/>
                <w:szCs w:val="24"/>
              </w:rPr>
              <w:t>Po članu GV-a</w:t>
            </w:r>
          </w:p>
        </w:tc>
        <w:tc>
          <w:tcPr>
            <w:tcW w:w="2266" w:type="dxa"/>
          </w:tcPr>
          <w:p w14:paraId="49762044" w14:textId="77777777" w:rsidR="00B837FB" w:rsidRPr="00163DB8" w:rsidRDefault="00B837FB" w:rsidP="007521B6">
            <w:pPr>
              <w:jc w:val="center"/>
              <w:rPr>
                <w:sz w:val="24"/>
                <w:szCs w:val="24"/>
              </w:rPr>
            </w:pPr>
            <w:r w:rsidRPr="00163DB8">
              <w:rPr>
                <w:sz w:val="24"/>
                <w:szCs w:val="24"/>
              </w:rPr>
              <w:t>Podzastupljeni spol</w:t>
            </w:r>
          </w:p>
        </w:tc>
        <w:tc>
          <w:tcPr>
            <w:tcW w:w="2266" w:type="dxa"/>
            <w:shd w:val="clear" w:color="auto" w:fill="BFBFBF" w:themeFill="background1" w:themeFillShade="BF"/>
          </w:tcPr>
          <w:p w14:paraId="53C09DBB" w14:textId="77777777" w:rsidR="00B837FB" w:rsidRPr="00163DB8" w:rsidRDefault="00B837FB" w:rsidP="007521B6">
            <w:pPr>
              <w:jc w:val="center"/>
              <w:rPr>
                <w:b/>
                <w:sz w:val="24"/>
                <w:szCs w:val="24"/>
              </w:rPr>
            </w:pPr>
          </w:p>
        </w:tc>
      </w:tr>
      <w:tr w:rsidR="00B837FB" w:rsidRPr="00163DB8" w14:paraId="0B8F4569" w14:textId="77777777" w:rsidTr="00092937">
        <w:tc>
          <w:tcPr>
            <w:tcW w:w="2265" w:type="dxa"/>
            <w:shd w:val="clear" w:color="auto" w:fill="BFBFBF" w:themeFill="background1" w:themeFillShade="BF"/>
          </w:tcPr>
          <w:p w14:paraId="21AF57B6" w14:textId="77777777" w:rsidR="00B837FB" w:rsidRPr="00163DB8" w:rsidRDefault="00B837FB" w:rsidP="007521B6">
            <w:pPr>
              <w:jc w:val="center"/>
              <w:rPr>
                <w:sz w:val="24"/>
                <w:szCs w:val="24"/>
              </w:rPr>
            </w:pPr>
          </w:p>
        </w:tc>
        <w:tc>
          <w:tcPr>
            <w:tcW w:w="2265" w:type="dxa"/>
          </w:tcPr>
          <w:p w14:paraId="5EC495A4" w14:textId="0B673EB8" w:rsidR="00B837FB" w:rsidRPr="00163DB8" w:rsidRDefault="00FF50F5" w:rsidP="007521B6">
            <w:pPr>
              <w:jc w:val="center"/>
              <w:rPr>
                <w:sz w:val="24"/>
                <w:szCs w:val="24"/>
              </w:rPr>
            </w:pPr>
            <w:r w:rsidRPr="00163DB8">
              <w:rPr>
                <w:sz w:val="24"/>
                <w:szCs w:val="24"/>
              </w:rPr>
              <w:t>26</w:t>
            </w:r>
            <w:r w:rsidR="00EA57AB" w:rsidRPr="00163DB8">
              <w:rPr>
                <w:sz w:val="24"/>
                <w:szCs w:val="24"/>
              </w:rPr>
              <w:t>6</w:t>
            </w:r>
            <w:r w:rsidRPr="00163DB8">
              <w:rPr>
                <w:sz w:val="24"/>
                <w:szCs w:val="24"/>
              </w:rPr>
              <w:t>,</w:t>
            </w:r>
            <w:r w:rsidR="00EA57AB" w:rsidRPr="00163DB8">
              <w:rPr>
                <w:sz w:val="24"/>
                <w:szCs w:val="24"/>
              </w:rPr>
              <w:t>00</w:t>
            </w:r>
          </w:p>
        </w:tc>
        <w:tc>
          <w:tcPr>
            <w:tcW w:w="2266" w:type="dxa"/>
          </w:tcPr>
          <w:p w14:paraId="36AD9B15" w14:textId="2342C4CF" w:rsidR="00B837FB" w:rsidRPr="00163DB8" w:rsidRDefault="00FF50F5" w:rsidP="007521B6">
            <w:pPr>
              <w:jc w:val="center"/>
              <w:rPr>
                <w:sz w:val="24"/>
                <w:szCs w:val="24"/>
              </w:rPr>
            </w:pPr>
            <w:r w:rsidRPr="00163DB8">
              <w:rPr>
                <w:sz w:val="24"/>
                <w:szCs w:val="24"/>
              </w:rPr>
              <w:t>29</w:t>
            </w:r>
            <w:r w:rsidR="00475604" w:rsidRPr="00163DB8">
              <w:rPr>
                <w:sz w:val="24"/>
                <w:szCs w:val="24"/>
              </w:rPr>
              <w:t>2</w:t>
            </w:r>
            <w:r w:rsidRPr="00163DB8">
              <w:rPr>
                <w:sz w:val="24"/>
                <w:szCs w:val="24"/>
              </w:rPr>
              <w:t>,</w:t>
            </w:r>
            <w:r w:rsidR="00475604" w:rsidRPr="00163DB8">
              <w:rPr>
                <w:sz w:val="24"/>
                <w:szCs w:val="24"/>
              </w:rPr>
              <w:t>6</w:t>
            </w:r>
            <w:r w:rsidR="00EA57AB" w:rsidRPr="00163DB8">
              <w:rPr>
                <w:sz w:val="24"/>
                <w:szCs w:val="24"/>
              </w:rPr>
              <w:t>0</w:t>
            </w:r>
          </w:p>
        </w:tc>
        <w:tc>
          <w:tcPr>
            <w:tcW w:w="2266" w:type="dxa"/>
            <w:shd w:val="clear" w:color="auto" w:fill="BFBFBF" w:themeFill="background1" w:themeFillShade="BF"/>
          </w:tcPr>
          <w:p w14:paraId="3D233AB0" w14:textId="77777777" w:rsidR="00B837FB" w:rsidRPr="00163DB8" w:rsidRDefault="00B837FB" w:rsidP="007521B6">
            <w:pPr>
              <w:jc w:val="center"/>
              <w:rPr>
                <w:sz w:val="24"/>
                <w:szCs w:val="24"/>
              </w:rPr>
            </w:pPr>
          </w:p>
        </w:tc>
      </w:tr>
      <w:tr w:rsidR="00B837FB" w:rsidRPr="00163DB8" w14:paraId="0A238D4B" w14:textId="77777777" w:rsidTr="006A4D58">
        <w:trPr>
          <w:trHeight w:val="1944"/>
        </w:trPr>
        <w:tc>
          <w:tcPr>
            <w:tcW w:w="2265" w:type="dxa"/>
          </w:tcPr>
          <w:p w14:paraId="12668DF6" w14:textId="5932A1FE" w:rsidR="006A4D58" w:rsidRDefault="00BF77EE" w:rsidP="006A4D58">
            <w:pPr>
              <w:rPr>
                <w:sz w:val="24"/>
                <w:szCs w:val="24"/>
              </w:rPr>
            </w:pPr>
            <w:r w:rsidRPr="00163DB8">
              <w:rPr>
                <w:b/>
                <w:sz w:val="24"/>
                <w:szCs w:val="24"/>
              </w:rPr>
              <w:t xml:space="preserve">Sveukupno </w:t>
            </w:r>
          </w:p>
          <w:p w14:paraId="5B5F6344" w14:textId="4E08DB1B" w:rsidR="006A4D58" w:rsidRPr="006A4D58" w:rsidRDefault="006A4D58" w:rsidP="006A4D58">
            <w:pPr>
              <w:rPr>
                <w:sz w:val="24"/>
                <w:szCs w:val="24"/>
              </w:rPr>
            </w:pPr>
            <w:r>
              <w:rPr>
                <w:sz w:val="24"/>
                <w:szCs w:val="24"/>
              </w:rPr>
              <w:t>Hrvatska demokratska zajednica (HDZ)</w:t>
            </w:r>
          </w:p>
        </w:tc>
        <w:tc>
          <w:tcPr>
            <w:tcW w:w="2265" w:type="dxa"/>
          </w:tcPr>
          <w:p w14:paraId="36FBE210" w14:textId="77777777" w:rsidR="007D2EE7" w:rsidRPr="00163DB8" w:rsidRDefault="007D2EE7" w:rsidP="006A4D58">
            <w:pPr>
              <w:rPr>
                <w:sz w:val="24"/>
                <w:szCs w:val="24"/>
              </w:rPr>
            </w:pPr>
          </w:p>
        </w:tc>
        <w:tc>
          <w:tcPr>
            <w:tcW w:w="2266" w:type="dxa"/>
          </w:tcPr>
          <w:p w14:paraId="781C5767" w14:textId="77777777" w:rsidR="007D2EE7" w:rsidRPr="00163DB8" w:rsidRDefault="007D2EE7" w:rsidP="007521B6">
            <w:pPr>
              <w:jc w:val="center"/>
              <w:rPr>
                <w:sz w:val="24"/>
                <w:szCs w:val="24"/>
              </w:rPr>
            </w:pPr>
          </w:p>
          <w:p w14:paraId="7251F138" w14:textId="77777777" w:rsidR="007D2EE7" w:rsidRPr="00163DB8" w:rsidRDefault="007D2EE7" w:rsidP="007521B6">
            <w:pPr>
              <w:jc w:val="center"/>
              <w:rPr>
                <w:sz w:val="24"/>
                <w:szCs w:val="24"/>
              </w:rPr>
            </w:pPr>
          </w:p>
          <w:p w14:paraId="4C9FD346" w14:textId="77777777" w:rsidR="007D2EE7" w:rsidRPr="00163DB8" w:rsidRDefault="007D2EE7" w:rsidP="007521B6">
            <w:pPr>
              <w:jc w:val="center"/>
              <w:rPr>
                <w:sz w:val="24"/>
                <w:szCs w:val="24"/>
              </w:rPr>
            </w:pPr>
          </w:p>
          <w:p w14:paraId="2A790DDB" w14:textId="77777777" w:rsidR="007D2EE7" w:rsidRPr="00163DB8" w:rsidRDefault="007D2EE7" w:rsidP="007521B6">
            <w:pPr>
              <w:jc w:val="center"/>
              <w:rPr>
                <w:sz w:val="24"/>
                <w:szCs w:val="24"/>
              </w:rPr>
            </w:pPr>
          </w:p>
          <w:p w14:paraId="011553D8" w14:textId="77777777" w:rsidR="007D2EE7" w:rsidRPr="00163DB8" w:rsidRDefault="007D2EE7" w:rsidP="007521B6">
            <w:pPr>
              <w:jc w:val="center"/>
              <w:rPr>
                <w:sz w:val="24"/>
                <w:szCs w:val="24"/>
              </w:rPr>
            </w:pPr>
          </w:p>
          <w:p w14:paraId="2A3E2B4F" w14:textId="77777777" w:rsidR="007D2EE7" w:rsidRPr="00163DB8" w:rsidRDefault="007D2EE7" w:rsidP="007521B6">
            <w:pPr>
              <w:jc w:val="center"/>
              <w:rPr>
                <w:sz w:val="24"/>
                <w:szCs w:val="24"/>
              </w:rPr>
            </w:pPr>
          </w:p>
          <w:p w14:paraId="2E104520" w14:textId="77777777" w:rsidR="007D2EE7" w:rsidRPr="00163DB8" w:rsidRDefault="007D2EE7" w:rsidP="007521B6">
            <w:pPr>
              <w:jc w:val="center"/>
              <w:rPr>
                <w:sz w:val="24"/>
                <w:szCs w:val="24"/>
              </w:rPr>
            </w:pPr>
          </w:p>
          <w:p w14:paraId="4138B048" w14:textId="77777777" w:rsidR="007D2EE7" w:rsidRPr="00163DB8" w:rsidRDefault="007D2EE7" w:rsidP="007521B6">
            <w:pPr>
              <w:jc w:val="center"/>
              <w:rPr>
                <w:sz w:val="24"/>
                <w:szCs w:val="24"/>
              </w:rPr>
            </w:pPr>
          </w:p>
          <w:p w14:paraId="36CF9F93" w14:textId="77777777" w:rsidR="007D2EE7" w:rsidRPr="00163DB8" w:rsidRDefault="007D2EE7" w:rsidP="007521B6">
            <w:pPr>
              <w:jc w:val="center"/>
              <w:rPr>
                <w:sz w:val="24"/>
                <w:szCs w:val="24"/>
              </w:rPr>
            </w:pPr>
          </w:p>
          <w:p w14:paraId="56298B4A" w14:textId="77777777" w:rsidR="007D2EE7" w:rsidRPr="00163DB8" w:rsidRDefault="007D2EE7" w:rsidP="007521B6">
            <w:pPr>
              <w:jc w:val="center"/>
              <w:rPr>
                <w:sz w:val="24"/>
                <w:szCs w:val="24"/>
              </w:rPr>
            </w:pPr>
          </w:p>
          <w:p w14:paraId="12D17B44" w14:textId="77777777" w:rsidR="007D2EE7" w:rsidRPr="00163DB8" w:rsidRDefault="007D2EE7" w:rsidP="00FF50F5">
            <w:pPr>
              <w:jc w:val="center"/>
              <w:rPr>
                <w:sz w:val="24"/>
                <w:szCs w:val="24"/>
              </w:rPr>
            </w:pPr>
          </w:p>
        </w:tc>
        <w:tc>
          <w:tcPr>
            <w:tcW w:w="2266" w:type="dxa"/>
          </w:tcPr>
          <w:p w14:paraId="097289F7" w14:textId="00807F9E" w:rsidR="00B837FB" w:rsidRPr="00163DB8" w:rsidRDefault="00CC25A5" w:rsidP="007521B6">
            <w:pPr>
              <w:jc w:val="center"/>
              <w:rPr>
                <w:b/>
                <w:sz w:val="24"/>
                <w:szCs w:val="24"/>
              </w:rPr>
            </w:pPr>
            <w:r>
              <w:rPr>
                <w:b/>
                <w:sz w:val="24"/>
                <w:szCs w:val="24"/>
              </w:rPr>
              <w:t>824,60</w:t>
            </w:r>
          </w:p>
        </w:tc>
      </w:tr>
      <w:tr w:rsidR="00B837FB" w:rsidRPr="00163DB8" w14:paraId="29BC0813" w14:textId="77777777" w:rsidTr="00B837FB">
        <w:tc>
          <w:tcPr>
            <w:tcW w:w="2265" w:type="dxa"/>
          </w:tcPr>
          <w:p w14:paraId="0D8E7EDF" w14:textId="76623B5B" w:rsidR="00F0212E" w:rsidRDefault="006A4D58" w:rsidP="00BF77EE">
            <w:pPr>
              <w:rPr>
                <w:b/>
                <w:sz w:val="24"/>
                <w:szCs w:val="24"/>
              </w:rPr>
            </w:pPr>
            <w:r>
              <w:rPr>
                <w:b/>
                <w:sz w:val="24"/>
                <w:szCs w:val="24"/>
              </w:rPr>
              <w:t>Sveukupno</w:t>
            </w:r>
          </w:p>
          <w:p w14:paraId="66FB76C5" w14:textId="42F3B0F5" w:rsidR="006A4D58" w:rsidRPr="006A4D58" w:rsidRDefault="006A4D58" w:rsidP="00BF77EE">
            <w:pPr>
              <w:rPr>
                <w:bCs/>
                <w:sz w:val="24"/>
                <w:szCs w:val="24"/>
              </w:rPr>
            </w:pPr>
            <w:r>
              <w:rPr>
                <w:bCs/>
                <w:sz w:val="24"/>
                <w:szCs w:val="24"/>
              </w:rPr>
              <w:t>Hrvatska stranka umirovljenika (HSU)</w:t>
            </w:r>
          </w:p>
          <w:p w14:paraId="13A3BB39" w14:textId="23E46D42" w:rsidR="00F01D98" w:rsidRPr="00163DB8" w:rsidRDefault="00F01D98" w:rsidP="009155F3">
            <w:pPr>
              <w:rPr>
                <w:sz w:val="24"/>
                <w:szCs w:val="24"/>
              </w:rPr>
            </w:pPr>
          </w:p>
        </w:tc>
        <w:tc>
          <w:tcPr>
            <w:tcW w:w="2265" w:type="dxa"/>
          </w:tcPr>
          <w:p w14:paraId="31949CDE" w14:textId="77777777" w:rsidR="00F01D98" w:rsidRPr="00163DB8" w:rsidRDefault="00F01D98" w:rsidP="009155F3">
            <w:pPr>
              <w:jc w:val="center"/>
              <w:rPr>
                <w:sz w:val="24"/>
                <w:szCs w:val="24"/>
              </w:rPr>
            </w:pPr>
          </w:p>
        </w:tc>
        <w:tc>
          <w:tcPr>
            <w:tcW w:w="2266" w:type="dxa"/>
          </w:tcPr>
          <w:p w14:paraId="5F0AE8C3" w14:textId="77777777" w:rsidR="00B837FB" w:rsidRPr="00163DB8" w:rsidRDefault="00B837FB" w:rsidP="009155F3">
            <w:pPr>
              <w:jc w:val="center"/>
              <w:rPr>
                <w:b/>
                <w:sz w:val="24"/>
                <w:szCs w:val="24"/>
              </w:rPr>
            </w:pPr>
          </w:p>
        </w:tc>
        <w:tc>
          <w:tcPr>
            <w:tcW w:w="2266" w:type="dxa"/>
          </w:tcPr>
          <w:p w14:paraId="7301DE5A" w14:textId="62BEDA41" w:rsidR="00B837FB" w:rsidRPr="00163DB8" w:rsidRDefault="00CC25A5" w:rsidP="009155F3">
            <w:pPr>
              <w:jc w:val="center"/>
              <w:rPr>
                <w:b/>
                <w:sz w:val="24"/>
                <w:szCs w:val="24"/>
              </w:rPr>
            </w:pPr>
            <w:r>
              <w:rPr>
                <w:b/>
                <w:sz w:val="24"/>
                <w:szCs w:val="24"/>
              </w:rPr>
              <w:t>266,00</w:t>
            </w:r>
          </w:p>
        </w:tc>
      </w:tr>
      <w:tr w:rsidR="009155F3" w:rsidRPr="00163DB8" w14:paraId="2213C37E" w14:textId="77777777" w:rsidTr="00B837FB">
        <w:tc>
          <w:tcPr>
            <w:tcW w:w="2265" w:type="dxa"/>
          </w:tcPr>
          <w:p w14:paraId="67F12B27" w14:textId="77777777" w:rsidR="009155F3" w:rsidRDefault="006A4D58" w:rsidP="009155F3">
            <w:pPr>
              <w:rPr>
                <w:b/>
                <w:sz w:val="24"/>
                <w:szCs w:val="24"/>
              </w:rPr>
            </w:pPr>
            <w:r>
              <w:rPr>
                <w:b/>
                <w:sz w:val="24"/>
                <w:szCs w:val="24"/>
              </w:rPr>
              <w:t>Sveukupno</w:t>
            </w:r>
          </w:p>
          <w:p w14:paraId="19577FCC" w14:textId="768A10A9" w:rsidR="006A4D58" w:rsidRPr="006A4D58" w:rsidRDefault="006A4D58" w:rsidP="009155F3">
            <w:pPr>
              <w:rPr>
                <w:bCs/>
                <w:sz w:val="24"/>
                <w:szCs w:val="24"/>
              </w:rPr>
            </w:pPr>
            <w:r w:rsidRPr="006A4D58">
              <w:rPr>
                <w:bCs/>
                <w:sz w:val="24"/>
                <w:szCs w:val="24"/>
              </w:rPr>
              <w:t>Hrvatska stranka prava (HSP)</w:t>
            </w:r>
          </w:p>
        </w:tc>
        <w:tc>
          <w:tcPr>
            <w:tcW w:w="2265" w:type="dxa"/>
          </w:tcPr>
          <w:p w14:paraId="4CCE6776" w14:textId="77777777" w:rsidR="009155F3" w:rsidRPr="00163DB8" w:rsidRDefault="009155F3" w:rsidP="007521B6">
            <w:pPr>
              <w:jc w:val="center"/>
              <w:rPr>
                <w:sz w:val="24"/>
                <w:szCs w:val="24"/>
              </w:rPr>
            </w:pPr>
          </w:p>
        </w:tc>
        <w:tc>
          <w:tcPr>
            <w:tcW w:w="2266" w:type="dxa"/>
          </w:tcPr>
          <w:p w14:paraId="2563F61B" w14:textId="77777777" w:rsidR="009155F3" w:rsidRPr="00163DB8" w:rsidRDefault="009155F3" w:rsidP="007521B6">
            <w:pPr>
              <w:jc w:val="center"/>
              <w:rPr>
                <w:sz w:val="24"/>
                <w:szCs w:val="24"/>
              </w:rPr>
            </w:pPr>
          </w:p>
        </w:tc>
        <w:tc>
          <w:tcPr>
            <w:tcW w:w="2266" w:type="dxa"/>
          </w:tcPr>
          <w:p w14:paraId="06E5344B" w14:textId="4E7975BA" w:rsidR="009155F3" w:rsidRPr="00163DB8" w:rsidRDefault="00CC25A5" w:rsidP="007521B6">
            <w:pPr>
              <w:jc w:val="center"/>
              <w:rPr>
                <w:b/>
                <w:sz w:val="24"/>
                <w:szCs w:val="24"/>
              </w:rPr>
            </w:pPr>
            <w:r>
              <w:rPr>
                <w:b/>
                <w:sz w:val="24"/>
                <w:szCs w:val="24"/>
              </w:rPr>
              <w:t>266,00</w:t>
            </w:r>
          </w:p>
        </w:tc>
      </w:tr>
      <w:tr w:rsidR="00B837FB" w:rsidRPr="00163DB8" w14:paraId="2E729C10" w14:textId="77777777" w:rsidTr="00B837FB">
        <w:tc>
          <w:tcPr>
            <w:tcW w:w="2265" w:type="dxa"/>
          </w:tcPr>
          <w:p w14:paraId="2D8E919A" w14:textId="19F69F01" w:rsidR="00B837FB" w:rsidRPr="00163DB8" w:rsidRDefault="00BF77EE" w:rsidP="00BF77EE">
            <w:pPr>
              <w:rPr>
                <w:b/>
                <w:sz w:val="24"/>
                <w:szCs w:val="24"/>
              </w:rPr>
            </w:pPr>
            <w:r w:rsidRPr="00163DB8">
              <w:rPr>
                <w:b/>
                <w:sz w:val="24"/>
                <w:szCs w:val="24"/>
              </w:rPr>
              <w:t>Sveukupno</w:t>
            </w:r>
          </w:p>
          <w:p w14:paraId="51748C79" w14:textId="0BA22F22" w:rsidR="00F01D98" w:rsidRPr="00163DB8" w:rsidRDefault="006A4D58" w:rsidP="00BF77EE">
            <w:pPr>
              <w:rPr>
                <w:sz w:val="24"/>
                <w:szCs w:val="24"/>
              </w:rPr>
            </w:pPr>
            <w:r>
              <w:rPr>
                <w:sz w:val="24"/>
                <w:szCs w:val="24"/>
              </w:rPr>
              <w:t>Socijaldemokratska partija Hrvatske (SDP)</w:t>
            </w:r>
          </w:p>
        </w:tc>
        <w:tc>
          <w:tcPr>
            <w:tcW w:w="2265" w:type="dxa"/>
          </w:tcPr>
          <w:p w14:paraId="7F3DDB64" w14:textId="77777777" w:rsidR="00B837FB" w:rsidRPr="00163DB8" w:rsidRDefault="00B837FB" w:rsidP="007521B6">
            <w:pPr>
              <w:jc w:val="center"/>
              <w:rPr>
                <w:sz w:val="24"/>
                <w:szCs w:val="24"/>
              </w:rPr>
            </w:pPr>
          </w:p>
        </w:tc>
        <w:tc>
          <w:tcPr>
            <w:tcW w:w="2266" w:type="dxa"/>
          </w:tcPr>
          <w:p w14:paraId="03167894" w14:textId="77777777" w:rsidR="00B837FB" w:rsidRPr="00163DB8" w:rsidRDefault="00B837FB" w:rsidP="007521B6">
            <w:pPr>
              <w:jc w:val="center"/>
              <w:rPr>
                <w:sz w:val="24"/>
                <w:szCs w:val="24"/>
              </w:rPr>
            </w:pPr>
          </w:p>
        </w:tc>
        <w:tc>
          <w:tcPr>
            <w:tcW w:w="2266" w:type="dxa"/>
          </w:tcPr>
          <w:p w14:paraId="101C72F3" w14:textId="4563E892" w:rsidR="00B837FB" w:rsidRPr="00163DB8" w:rsidRDefault="00CC25A5" w:rsidP="007521B6">
            <w:pPr>
              <w:jc w:val="center"/>
              <w:rPr>
                <w:b/>
                <w:sz w:val="24"/>
                <w:szCs w:val="24"/>
              </w:rPr>
            </w:pPr>
            <w:r>
              <w:rPr>
                <w:b/>
                <w:sz w:val="24"/>
                <w:szCs w:val="24"/>
              </w:rPr>
              <w:t>1.6</w:t>
            </w:r>
            <w:r w:rsidR="00E826F1">
              <w:rPr>
                <w:b/>
                <w:sz w:val="24"/>
                <w:szCs w:val="24"/>
              </w:rPr>
              <w:t>75</w:t>
            </w:r>
            <w:r>
              <w:rPr>
                <w:b/>
                <w:sz w:val="24"/>
                <w:szCs w:val="24"/>
              </w:rPr>
              <w:t>,</w:t>
            </w:r>
            <w:r w:rsidR="00E826F1">
              <w:rPr>
                <w:b/>
                <w:sz w:val="24"/>
                <w:szCs w:val="24"/>
              </w:rPr>
              <w:t>8</w:t>
            </w:r>
            <w:r>
              <w:rPr>
                <w:b/>
                <w:sz w:val="24"/>
                <w:szCs w:val="24"/>
              </w:rPr>
              <w:t>0</w:t>
            </w:r>
          </w:p>
        </w:tc>
      </w:tr>
      <w:tr w:rsidR="00B837FB" w:rsidRPr="00163DB8" w14:paraId="377A106F" w14:textId="77777777" w:rsidTr="00B837FB">
        <w:tc>
          <w:tcPr>
            <w:tcW w:w="2265" w:type="dxa"/>
          </w:tcPr>
          <w:p w14:paraId="7DD9DCBD" w14:textId="666E40B3" w:rsidR="00B837FB" w:rsidRPr="00163DB8" w:rsidRDefault="005B6E3D" w:rsidP="00BF77EE">
            <w:pPr>
              <w:rPr>
                <w:b/>
                <w:sz w:val="24"/>
                <w:szCs w:val="24"/>
              </w:rPr>
            </w:pPr>
            <w:r w:rsidRPr="00163DB8">
              <w:rPr>
                <w:b/>
                <w:sz w:val="24"/>
                <w:szCs w:val="24"/>
              </w:rPr>
              <w:t>S</w:t>
            </w:r>
            <w:r w:rsidR="00BF77EE" w:rsidRPr="00163DB8">
              <w:rPr>
                <w:b/>
                <w:sz w:val="24"/>
                <w:szCs w:val="24"/>
              </w:rPr>
              <w:t>veukupno</w:t>
            </w:r>
          </w:p>
          <w:p w14:paraId="1C8B4DD7" w14:textId="77777777" w:rsidR="00A16009" w:rsidRDefault="006A4D58" w:rsidP="005B6E3D">
            <w:pPr>
              <w:rPr>
                <w:sz w:val="24"/>
                <w:szCs w:val="24"/>
              </w:rPr>
            </w:pPr>
            <w:r>
              <w:rPr>
                <w:sz w:val="24"/>
                <w:szCs w:val="24"/>
              </w:rPr>
              <w:lastRenderedPageBreak/>
              <w:t>Kandidacijska lista grupe birača (nositelj liste: Ivica Knežević)</w:t>
            </w:r>
          </w:p>
          <w:p w14:paraId="32B57AF4" w14:textId="77777777" w:rsidR="006A4D58" w:rsidRPr="00CC25A5" w:rsidRDefault="006A4D58" w:rsidP="005B6E3D">
            <w:pPr>
              <w:rPr>
                <w:b/>
                <w:bCs/>
                <w:sz w:val="24"/>
                <w:szCs w:val="24"/>
              </w:rPr>
            </w:pPr>
            <w:r w:rsidRPr="00CC25A5">
              <w:rPr>
                <w:b/>
                <w:bCs/>
                <w:sz w:val="24"/>
                <w:szCs w:val="24"/>
              </w:rPr>
              <w:t>Pojedinačno</w:t>
            </w:r>
          </w:p>
          <w:p w14:paraId="79BE9D71" w14:textId="77777777" w:rsidR="006A4D58" w:rsidRDefault="006A4D58" w:rsidP="005B6E3D">
            <w:pPr>
              <w:rPr>
                <w:sz w:val="24"/>
                <w:szCs w:val="24"/>
              </w:rPr>
            </w:pPr>
            <w:r>
              <w:rPr>
                <w:sz w:val="24"/>
                <w:szCs w:val="24"/>
              </w:rPr>
              <w:t xml:space="preserve">Ivica Knežević </w:t>
            </w:r>
          </w:p>
          <w:p w14:paraId="29F63114" w14:textId="35CB75E9" w:rsidR="006A4D58" w:rsidRPr="00163DB8" w:rsidRDefault="006A4D58" w:rsidP="005B6E3D">
            <w:pPr>
              <w:rPr>
                <w:sz w:val="24"/>
                <w:szCs w:val="24"/>
              </w:rPr>
            </w:pPr>
            <w:r>
              <w:rPr>
                <w:sz w:val="24"/>
                <w:szCs w:val="24"/>
              </w:rPr>
              <w:t>Boris Lozer</w:t>
            </w:r>
          </w:p>
        </w:tc>
        <w:tc>
          <w:tcPr>
            <w:tcW w:w="2265" w:type="dxa"/>
          </w:tcPr>
          <w:p w14:paraId="64C58DD3" w14:textId="77777777" w:rsidR="00B837FB" w:rsidRPr="00163DB8" w:rsidRDefault="00B837FB" w:rsidP="007521B6">
            <w:pPr>
              <w:jc w:val="center"/>
              <w:rPr>
                <w:sz w:val="24"/>
                <w:szCs w:val="24"/>
              </w:rPr>
            </w:pPr>
          </w:p>
        </w:tc>
        <w:tc>
          <w:tcPr>
            <w:tcW w:w="2266" w:type="dxa"/>
          </w:tcPr>
          <w:p w14:paraId="09DED563" w14:textId="77777777" w:rsidR="00B837FB" w:rsidRPr="00163DB8" w:rsidRDefault="00B837FB" w:rsidP="007521B6">
            <w:pPr>
              <w:jc w:val="center"/>
              <w:rPr>
                <w:sz w:val="24"/>
                <w:szCs w:val="24"/>
              </w:rPr>
            </w:pPr>
          </w:p>
        </w:tc>
        <w:tc>
          <w:tcPr>
            <w:tcW w:w="2266" w:type="dxa"/>
          </w:tcPr>
          <w:p w14:paraId="44ACE280" w14:textId="51C66C0D" w:rsidR="00B837FB" w:rsidRPr="00163DB8" w:rsidRDefault="00CC25A5" w:rsidP="007521B6">
            <w:pPr>
              <w:jc w:val="center"/>
              <w:rPr>
                <w:b/>
                <w:sz w:val="24"/>
                <w:szCs w:val="24"/>
              </w:rPr>
            </w:pPr>
            <w:r>
              <w:rPr>
                <w:b/>
                <w:sz w:val="24"/>
                <w:szCs w:val="24"/>
              </w:rPr>
              <w:t>532,00</w:t>
            </w:r>
          </w:p>
        </w:tc>
      </w:tr>
      <w:tr w:rsidR="007521B6" w:rsidRPr="00163DB8" w14:paraId="153BD106" w14:textId="77777777" w:rsidTr="00092937">
        <w:tc>
          <w:tcPr>
            <w:tcW w:w="2265" w:type="dxa"/>
          </w:tcPr>
          <w:p w14:paraId="21B7B720" w14:textId="77777777" w:rsidR="007521B6" w:rsidRPr="00163DB8" w:rsidRDefault="007521B6" w:rsidP="007521B6">
            <w:pPr>
              <w:jc w:val="center"/>
              <w:rPr>
                <w:b/>
                <w:sz w:val="24"/>
                <w:szCs w:val="24"/>
              </w:rPr>
            </w:pPr>
            <w:r w:rsidRPr="00163DB8">
              <w:rPr>
                <w:b/>
                <w:sz w:val="24"/>
                <w:szCs w:val="24"/>
              </w:rPr>
              <w:t>UKUPNO EURA</w:t>
            </w:r>
          </w:p>
        </w:tc>
        <w:tc>
          <w:tcPr>
            <w:tcW w:w="2265" w:type="dxa"/>
            <w:shd w:val="clear" w:color="auto" w:fill="BFBFBF" w:themeFill="background1" w:themeFillShade="BF"/>
          </w:tcPr>
          <w:p w14:paraId="1FF912D4" w14:textId="77777777" w:rsidR="007521B6" w:rsidRPr="00163DB8" w:rsidRDefault="007521B6" w:rsidP="007521B6">
            <w:pPr>
              <w:jc w:val="center"/>
              <w:rPr>
                <w:b/>
                <w:sz w:val="24"/>
                <w:szCs w:val="24"/>
              </w:rPr>
            </w:pPr>
          </w:p>
        </w:tc>
        <w:tc>
          <w:tcPr>
            <w:tcW w:w="2266" w:type="dxa"/>
            <w:shd w:val="clear" w:color="auto" w:fill="BFBFBF" w:themeFill="background1" w:themeFillShade="BF"/>
          </w:tcPr>
          <w:p w14:paraId="31541E71" w14:textId="77777777" w:rsidR="007521B6" w:rsidRPr="00163DB8" w:rsidRDefault="007521B6" w:rsidP="007521B6">
            <w:pPr>
              <w:jc w:val="center"/>
              <w:rPr>
                <w:b/>
                <w:sz w:val="24"/>
                <w:szCs w:val="24"/>
              </w:rPr>
            </w:pPr>
          </w:p>
        </w:tc>
        <w:tc>
          <w:tcPr>
            <w:tcW w:w="2266" w:type="dxa"/>
          </w:tcPr>
          <w:p w14:paraId="03209D36" w14:textId="406D02E7" w:rsidR="007521B6" w:rsidRPr="00163DB8" w:rsidRDefault="00E826F1" w:rsidP="007521B6">
            <w:pPr>
              <w:jc w:val="center"/>
              <w:rPr>
                <w:b/>
                <w:sz w:val="24"/>
                <w:szCs w:val="24"/>
              </w:rPr>
            </w:pPr>
            <w:r>
              <w:rPr>
                <w:b/>
                <w:sz w:val="24"/>
                <w:szCs w:val="24"/>
              </w:rPr>
              <w:t>3.564,40</w:t>
            </w:r>
          </w:p>
        </w:tc>
      </w:tr>
    </w:tbl>
    <w:p w14:paraId="32CE93B2" w14:textId="77777777" w:rsidR="00C8587A" w:rsidRPr="00163DB8" w:rsidRDefault="00C8587A" w:rsidP="00C8587A">
      <w:pPr>
        <w:rPr>
          <w:sz w:val="24"/>
          <w:szCs w:val="24"/>
        </w:rPr>
      </w:pPr>
    </w:p>
    <w:p w14:paraId="3A04ED34" w14:textId="77777777" w:rsidR="00C8587A" w:rsidRPr="00163DB8" w:rsidRDefault="00407DF3" w:rsidP="00C8587A">
      <w:pPr>
        <w:jc w:val="center"/>
        <w:rPr>
          <w:b/>
          <w:sz w:val="24"/>
          <w:szCs w:val="24"/>
        </w:rPr>
      </w:pPr>
      <w:r w:rsidRPr="00163DB8">
        <w:rPr>
          <w:b/>
          <w:sz w:val="24"/>
          <w:szCs w:val="24"/>
        </w:rPr>
        <w:tab/>
        <w:t>Članak 10</w:t>
      </w:r>
      <w:r w:rsidR="00C8587A" w:rsidRPr="00163DB8">
        <w:rPr>
          <w:b/>
          <w:sz w:val="24"/>
          <w:szCs w:val="24"/>
        </w:rPr>
        <w:t>.</w:t>
      </w:r>
    </w:p>
    <w:p w14:paraId="6A0CC00D" w14:textId="231A8E21" w:rsidR="00C8587A" w:rsidRPr="00163DB8" w:rsidRDefault="00C8587A" w:rsidP="00C8587A">
      <w:pPr>
        <w:jc w:val="both"/>
        <w:rPr>
          <w:sz w:val="24"/>
          <w:szCs w:val="24"/>
        </w:rPr>
      </w:pPr>
      <w:r w:rsidRPr="00163DB8">
        <w:rPr>
          <w:sz w:val="24"/>
          <w:szCs w:val="24"/>
        </w:rPr>
        <w:t xml:space="preserve">Ova Odluka stupa na snagu </w:t>
      </w:r>
      <w:r w:rsidR="007D2EE7" w:rsidRPr="00163DB8">
        <w:rPr>
          <w:sz w:val="24"/>
          <w:szCs w:val="24"/>
        </w:rPr>
        <w:t>1. siječnja 202</w:t>
      </w:r>
      <w:r w:rsidR="00CC25A5">
        <w:rPr>
          <w:sz w:val="24"/>
          <w:szCs w:val="24"/>
        </w:rPr>
        <w:t>6</w:t>
      </w:r>
      <w:r w:rsidR="007D2EE7" w:rsidRPr="00163DB8">
        <w:rPr>
          <w:sz w:val="24"/>
          <w:szCs w:val="24"/>
        </w:rPr>
        <w:t>. godine</w:t>
      </w:r>
      <w:r w:rsidR="00BF77EE" w:rsidRPr="00163DB8">
        <w:rPr>
          <w:sz w:val="24"/>
          <w:szCs w:val="24"/>
        </w:rPr>
        <w:t>,</w:t>
      </w:r>
      <w:r w:rsidR="007D2EE7" w:rsidRPr="00163DB8">
        <w:rPr>
          <w:sz w:val="24"/>
          <w:szCs w:val="24"/>
        </w:rPr>
        <w:t xml:space="preserve"> a objavit će se</w:t>
      </w:r>
      <w:r w:rsidRPr="00163DB8">
        <w:rPr>
          <w:sz w:val="24"/>
          <w:szCs w:val="24"/>
        </w:rPr>
        <w:t xml:space="preserve"> u „Službenim novinama Grada Delnica“.</w:t>
      </w:r>
    </w:p>
    <w:p w14:paraId="06309C9A" w14:textId="77777777" w:rsidR="00C8587A" w:rsidRPr="00163DB8" w:rsidRDefault="00C8587A" w:rsidP="00C8587A">
      <w:pPr>
        <w:jc w:val="both"/>
        <w:rPr>
          <w:sz w:val="24"/>
          <w:szCs w:val="24"/>
        </w:rPr>
      </w:pPr>
    </w:p>
    <w:p w14:paraId="11F46650" w14:textId="55A2139C" w:rsidR="00E9192A" w:rsidRPr="00163DB8" w:rsidRDefault="00347A6D" w:rsidP="00E9192A">
      <w:pPr>
        <w:rPr>
          <w:sz w:val="24"/>
          <w:szCs w:val="24"/>
        </w:rPr>
      </w:pPr>
      <w:r w:rsidRPr="00163DB8">
        <w:rPr>
          <w:sz w:val="24"/>
          <w:szCs w:val="24"/>
        </w:rPr>
        <w:t xml:space="preserve">KLASA: </w:t>
      </w:r>
      <w:r w:rsidR="00E826F1">
        <w:rPr>
          <w:sz w:val="24"/>
          <w:szCs w:val="24"/>
        </w:rPr>
        <w:t>402-01/25-01/2</w:t>
      </w:r>
    </w:p>
    <w:p w14:paraId="6805BE89" w14:textId="5AF5E851" w:rsidR="00E9192A" w:rsidRPr="00163DB8" w:rsidRDefault="00347A6D" w:rsidP="00E9192A">
      <w:pPr>
        <w:rPr>
          <w:sz w:val="24"/>
          <w:szCs w:val="24"/>
        </w:rPr>
      </w:pPr>
      <w:r w:rsidRPr="00163DB8">
        <w:rPr>
          <w:sz w:val="24"/>
          <w:szCs w:val="24"/>
        </w:rPr>
        <w:t>URBROJ: 2170-6-5-</w:t>
      </w:r>
      <w:r w:rsidR="00650191" w:rsidRPr="00163DB8">
        <w:rPr>
          <w:sz w:val="24"/>
          <w:szCs w:val="24"/>
        </w:rPr>
        <w:t>4</w:t>
      </w:r>
      <w:r w:rsidRPr="00163DB8">
        <w:rPr>
          <w:sz w:val="24"/>
          <w:szCs w:val="24"/>
        </w:rPr>
        <w:t>-2</w:t>
      </w:r>
      <w:r w:rsidR="00CC25A5">
        <w:rPr>
          <w:sz w:val="24"/>
          <w:szCs w:val="24"/>
        </w:rPr>
        <w:t>5</w:t>
      </w:r>
      <w:r w:rsidRPr="00163DB8">
        <w:rPr>
          <w:sz w:val="24"/>
          <w:szCs w:val="24"/>
        </w:rPr>
        <w:t>-1</w:t>
      </w:r>
    </w:p>
    <w:p w14:paraId="3F6B85CE" w14:textId="4A2AD912" w:rsidR="00E9192A" w:rsidRPr="00163DB8" w:rsidRDefault="00347A6D" w:rsidP="00E9192A">
      <w:pPr>
        <w:pStyle w:val="Bezproreda"/>
        <w:rPr>
          <w:color w:val="000000"/>
          <w:sz w:val="24"/>
          <w:szCs w:val="24"/>
          <w:lang w:val="hr-HR"/>
        </w:rPr>
      </w:pPr>
      <w:r w:rsidRPr="00163DB8">
        <w:rPr>
          <w:color w:val="000000"/>
          <w:sz w:val="24"/>
          <w:szCs w:val="24"/>
          <w:lang w:val="hr-HR"/>
        </w:rPr>
        <w:t xml:space="preserve">Delnice, </w:t>
      </w:r>
      <w:r w:rsidR="00CC25A5">
        <w:rPr>
          <w:color w:val="000000"/>
          <w:sz w:val="24"/>
          <w:szCs w:val="24"/>
          <w:lang w:val="hr-HR"/>
        </w:rPr>
        <w:t>xx</w:t>
      </w:r>
      <w:r w:rsidR="00E9192A" w:rsidRPr="00163DB8">
        <w:rPr>
          <w:color w:val="000000"/>
          <w:sz w:val="24"/>
          <w:szCs w:val="24"/>
          <w:lang w:val="hr-HR"/>
        </w:rPr>
        <w:t xml:space="preserve">. </w:t>
      </w:r>
      <w:r w:rsidRPr="00163DB8">
        <w:rPr>
          <w:color w:val="000000"/>
          <w:sz w:val="24"/>
          <w:szCs w:val="24"/>
          <w:lang w:val="hr-HR"/>
        </w:rPr>
        <w:t>prosinca 202</w:t>
      </w:r>
      <w:r w:rsidR="00CC25A5">
        <w:rPr>
          <w:color w:val="000000"/>
          <w:sz w:val="24"/>
          <w:szCs w:val="24"/>
          <w:lang w:val="hr-HR"/>
        </w:rPr>
        <w:t>5</w:t>
      </w:r>
      <w:r w:rsidR="00E9192A" w:rsidRPr="00163DB8">
        <w:rPr>
          <w:color w:val="000000"/>
          <w:sz w:val="24"/>
          <w:szCs w:val="24"/>
          <w:lang w:val="hr-HR"/>
        </w:rPr>
        <w:t>. godine</w:t>
      </w:r>
    </w:p>
    <w:p w14:paraId="1AF9093A" w14:textId="77777777" w:rsidR="00347A6D" w:rsidRDefault="00347A6D" w:rsidP="00E9192A">
      <w:pPr>
        <w:pStyle w:val="Bezproreda"/>
        <w:rPr>
          <w:color w:val="000000"/>
          <w:sz w:val="24"/>
          <w:szCs w:val="24"/>
          <w:lang w:val="hr-HR"/>
        </w:rPr>
      </w:pPr>
    </w:p>
    <w:p w14:paraId="6CB79BE2" w14:textId="77777777" w:rsidR="00CC25A5" w:rsidRDefault="00CC25A5" w:rsidP="00E9192A">
      <w:pPr>
        <w:pStyle w:val="Bezproreda"/>
        <w:rPr>
          <w:color w:val="000000"/>
          <w:sz w:val="24"/>
          <w:szCs w:val="24"/>
          <w:lang w:val="hr-HR"/>
        </w:rPr>
      </w:pPr>
    </w:p>
    <w:p w14:paraId="7CA5725C" w14:textId="77777777" w:rsidR="00CC25A5" w:rsidRPr="00163DB8" w:rsidRDefault="00CC25A5" w:rsidP="00E9192A">
      <w:pPr>
        <w:pStyle w:val="Bezproreda"/>
        <w:rPr>
          <w:color w:val="000000"/>
          <w:sz w:val="24"/>
          <w:szCs w:val="24"/>
          <w:lang w:val="hr-HR"/>
        </w:rPr>
      </w:pPr>
    </w:p>
    <w:p w14:paraId="29D3ABF1" w14:textId="7BEF13AA" w:rsidR="00A72095" w:rsidRPr="00163DB8" w:rsidRDefault="00CC25A5" w:rsidP="00A72095">
      <w:pPr>
        <w:jc w:val="center"/>
        <w:rPr>
          <w:sz w:val="24"/>
          <w:szCs w:val="24"/>
        </w:rPr>
      </w:pPr>
      <w:r w:rsidRPr="00163DB8">
        <w:rPr>
          <w:sz w:val="24"/>
          <w:szCs w:val="24"/>
        </w:rPr>
        <w:t>GRADSKO VIJEĆE GRADA DELNICA</w:t>
      </w:r>
    </w:p>
    <w:p w14:paraId="025D03AF" w14:textId="77777777" w:rsidR="00CC25A5" w:rsidRDefault="00CC25A5" w:rsidP="00A72095">
      <w:pPr>
        <w:jc w:val="center"/>
        <w:rPr>
          <w:sz w:val="24"/>
          <w:szCs w:val="24"/>
        </w:rPr>
      </w:pPr>
    </w:p>
    <w:p w14:paraId="0143680D" w14:textId="77777777" w:rsidR="00CC25A5" w:rsidRDefault="00CC25A5" w:rsidP="00A72095">
      <w:pPr>
        <w:jc w:val="center"/>
        <w:rPr>
          <w:sz w:val="24"/>
          <w:szCs w:val="24"/>
        </w:rPr>
      </w:pPr>
    </w:p>
    <w:p w14:paraId="735E079D" w14:textId="77777777" w:rsidR="00CC25A5" w:rsidRDefault="00CC25A5" w:rsidP="00A72095">
      <w:pPr>
        <w:jc w:val="center"/>
        <w:rPr>
          <w:sz w:val="24"/>
          <w:szCs w:val="24"/>
        </w:rPr>
      </w:pPr>
    </w:p>
    <w:p w14:paraId="1CBE0BE0" w14:textId="77777777" w:rsidR="00CC25A5" w:rsidRDefault="00CC25A5" w:rsidP="00A72095">
      <w:pPr>
        <w:jc w:val="center"/>
        <w:rPr>
          <w:sz w:val="24"/>
          <w:szCs w:val="24"/>
        </w:rPr>
      </w:pPr>
    </w:p>
    <w:p w14:paraId="3E92BEBE" w14:textId="3492A403" w:rsidR="00A72095" w:rsidRPr="00163DB8" w:rsidRDefault="00CC25A5" w:rsidP="00CC25A5">
      <w:pPr>
        <w:ind w:left="5664" w:firstLine="708"/>
        <w:jc w:val="center"/>
        <w:rPr>
          <w:sz w:val="24"/>
          <w:szCs w:val="24"/>
        </w:rPr>
      </w:pPr>
      <w:r w:rsidRPr="00163DB8">
        <w:rPr>
          <w:sz w:val="24"/>
          <w:szCs w:val="24"/>
        </w:rPr>
        <w:t>PREDSJEDNI</w:t>
      </w:r>
      <w:r w:rsidR="00E826F1">
        <w:rPr>
          <w:sz w:val="24"/>
          <w:szCs w:val="24"/>
        </w:rPr>
        <w:t>K</w:t>
      </w:r>
    </w:p>
    <w:p w14:paraId="073564CE" w14:textId="40BC4541" w:rsidR="00C8587A" w:rsidRPr="00BF77EE" w:rsidRDefault="00CC25A5" w:rsidP="00CC25A5">
      <w:pPr>
        <w:ind w:left="5664" w:firstLine="708"/>
        <w:jc w:val="center"/>
        <w:rPr>
          <w:bCs/>
          <w:sz w:val="24"/>
          <w:szCs w:val="24"/>
        </w:rPr>
      </w:pPr>
      <w:r>
        <w:rPr>
          <w:bCs/>
          <w:sz w:val="24"/>
          <w:szCs w:val="24"/>
        </w:rPr>
        <w:t>Ivan Piškor</w:t>
      </w:r>
    </w:p>
    <w:sectPr w:rsidR="00C8587A" w:rsidRPr="00BF77EE" w:rsidSect="0067196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D9E5" w14:textId="77777777" w:rsidR="00012825" w:rsidRDefault="00012825">
      <w:r>
        <w:separator/>
      </w:r>
    </w:p>
  </w:endnote>
  <w:endnote w:type="continuationSeparator" w:id="0">
    <w:p w14:paraId="1BBD2F0E" w14:textId="77777777" w:rsidR="00012825" w:rsidRDefault="0001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FA8" w14:textId="77777777" w:rsidR="00CF05D6" w:rsidRDefault="00CF05D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390D" w14:textId="77777777" w:rsidR="00455766" w:rsidRDefault="00C86245">
    <w:pPr>
      <w:pStyle w:val="Podnoje"/>
      <w:jc w:val="right"/>
    </w:pPr>
    <w:r>
      <w:fldChar w:fldCharType="begin"/>
    </w:r>
    <w:r>
      <w:instrText>PAGE   \* MERGEFORMAT</w:instrText>
    </w:r>
    <w:r>
      <w:fldChar w:fldCharType="separate"/>
    </w:r>
    <w:r w:rsidR="008A5EB9">
      <w:rPr>
        <w:noProof/>
      </w:rPr>
      <w:t>2</w:t>
    </w:r>
    <w:r>
      <w:fldChar w:fldCharType="end"/>
    </w:r>
  </w:p>
  <w:p w14:paraId="7C26A3E0" w14:textId="77777777" w:rsidR="00455766" w:rsidRDefault="0045576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9313" w14:textId="77777777" w:rsidR="00CF05D6" w:rsidRDefault="00CF05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2310" w14:textId="77777777" w:rsidR="00012825" w:rsidRDefault="00012825">
      <w:r>
        <w:separator/>
      </w:r>
    </w:p>
  </w:footnote>
  <w:footnote w:type="continuationSeparator" w:id="0">
    <w:p w14:paraId="4F2DE78A" w14:textId="77777777" w:rsidR="00012825" w:rsidRDefault="0001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53EA" w14:textId="3D17433D" w:rsidR="00CF05D6" w:rsidRDefault="00CF05D6">
    <w:pPr>
      <w:pStyle w:val="Zaglavlje"/>
    </w:pPr>
    <w:r>
      <w:rPr>
        <w:noProof/>
      </w:rPr>
      <w:pict w14:anchorId="3E5E2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2829"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ABE9" w14:textId="600FC438" w:rsidR="00CF05D6" w:rsidRDefault="00CF05D6">
    <w:pPr>
      <w:pStyle w:val="Zaglavlje"/>
    </w:pPr>
    <w:r>
      <w:rPr>
        <w:noProof/>
      </w:rPr>
      <w:pict w14:anchorId="4828C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2830" o:spid="_x0000_s1027"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D9FC" w14:textId="66061D7B" w:rsidR="00CF05D6" w:rsidRDefault="00CF05D6">
    <w:pPr>
      <w:pStyle w:val="Zaglavlje"/>
    </w:pPr>
    <w:r>
      <w:rPr>
        <w:noProof/>
      </w:rPr>
      <w:pict w14:anchorId="7425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2828"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67"/>
    <w:rsid w:val="00012825"/>
    <w:rsid w:val="00057541"/>
    <w:rsid w:val="00061D35"/>
    <w:rsid w:val="0006596A"/>
    <w:rsid w:val="00065B62"/>
    <w:rsid w:val="00092937"/>
    <w:rsid w:val="000B4862"/>
    <w:rsid w:val="000F4A0C"/>
    <w:rsid w:val="00163DB8"/>
    <w:rsid w:val="001D7F3A"/>
    <w:rsid w:val="001E0A38"/>
    <w:rsid w:val="001E700C"/>
    <w:rsid w:val="001F1B5D"/>
    <w:rsid w:val="001F6043"/>
    <w:rsid w:val="00206208"/>
    <w:rsid w:val="00207813"/>
    <w:rsid w:val="002543C4"/>
    <w:rsid w:val="002601B1"/>
    <w:rsid w:val="00262767"/>
    <w:rsid w:val="0027725E"/>
    <w:rsid w:val="002921B2"/>
    <w:rsid w:val="002B2F30"/>
    <w:rsid w:val="002C006F"/>
    <w:rsid w:val="002D7399"/>
    <w:rsid w:val="002F5556"/>
    <w:rsid w:val="00347A6D"/>
    <w:rsid w:val="00351CA2"/>
    <w:rsid w:val="00357C06"/>
    <w:rsid w:val="00362139"/>
    <w:rsid w:val="00397DF4"/>
    <w:rsid w:val="003E47FE"/>
    <w:rsid w:val="00407DF3"/>
    <w:rsid w:val="00455766"/>
    <w:rsid w:val="00475604"/>
    <w:rsid w:val="00480160"/>
    <w:rsid w:val="004C1AC5"/>
    <w:rsid w:val="00516267"/>
    <w:rsid w:val="00525BE0"/>
    <w:rsid w:val="00583816"/>
    <w:rsid w:val="005B6E3D"/>
    <w:rsid w:val="005F1894"/>
    <w:rsid w:val="00622018"/>
    <w:rsid w:val="00650191"/>
    <w:rsid w:val="006579E5"/>
    <w:rsid w:val="00664BEE"/>
    <w:rsid w:val="00667876"/>
    <w:rsid w:val="00694048"/>
    <w:rsid w:val="006A4D58"/>
    <w:rsid w:val="006E70EE"/>
    <w:rsid w:val="007017AB"/>
    <w:rsid w:val="0071443F"/>
    <w:rsid w:val="007521B6"/>
    <w:rsid w:val="007854D0"/>
    <w:rsid w:val="007907A1"/>
    <w:rsid w:val="007D196B"/>
    <w:rsid w:val="007D2328"/>
    <w:rsid w:val="007D2EE7"/>
    <w:rsid w:val="007D717F"/>
    <w:rsid w:val="007E7B50"/>
    <w:rsid w:val="007F2616"/>
    <w:rsid w:val="00811F9F"/>
    <w:rsid w:val="00825A48"/>
    <w:rsid w:val="00865E31"/>
    <w:rsid w:val="0089402E"/>
    <w:rsid w:val="008A5EB9"/>
    <w:rsid w:val="008F3D72"/>
    <w:rsid w:val="009155F3"/>
    <w:rsid w:val="00934CCC"/>
    <w:rsid w:val="00955F9A"/>
    <w:rsid w:val="009819A3"/>
    <w:rsid w:val="0098781D"/>
    <w:rsid w:val="00A06F31"/>
    <w:rsid w:val="00A16009"/>
    <w:rsid w:val="00A17BE0"/>
    <w:rsid w:val="00A72095"/>
    <w:rsid w:val="00A851E0"/>
    <w:rsid w:val="00AF2E3A"/>
    <w:rsid w:val="00B048FF"/>
    <w:rsid w:val="00B45242"/>
    <w:rsid w:val="00B8227B"/>
    <w:rsid w:val="00B837FB"/>
    <w:rsid w:val="00BA3FA7"/>
    <w:rsid w:val="00BC4B8A"/>
    <w:rsid w:val="00BC7304"/>
    <w:rsid w:val="00BF21DE"/>
    <w:rsid w:val="00BF77EE"/>
    <w:rsid w:val="00C351DF"/>
    <w:rsid w:val="00C52CF5"/>
    <w:rsid w:val="00C55343"/>
    <w:rsid w:val="00C67A14"/>
    <w:rsid w:val="00C84119"/>
    <w:rsid w:val="00C8587A"/>
    <w:rsid w:val="00C86245"/>
    <w:rsid w:val="00CC25A5"/>
    <w:rsid w:val="00CD2245"/>
    <w:rsid w:val="00CD396C"/>
    <w:rsid w:val="00CD4C0C"/>
    <w:rsid w:val="00CF05D6"/>
    <w:rsid w:val="00D53576"/>
    <w:rsid w:val="00DE5175"/>
    <w:rsid w:val="00E00D3A"/>
    <w:rsid w:val="00E23442"/>
    <w:rsid w:val="00E826F1"/>
    <w:rsid w:val="00E9192A"/>
    <w:rsid w:val="00EA57AB"/>
    <w:rsid w:val="00ED26E6"/>
    <w:rsid w:val="00ED42E5"/>
    <w:rsid w:val="00EF3A63"/>
    <w:rsid w:val="00F01D98"/>
    <w:rsid w:val="00F0212E"/>
    <w:rsid w:val="00F66537"/>
    <w:rsid w:val="00FB28CC"/>
    <w:rsid w:val="00FD19F9"/>
    <w:rsid w:val="00FF0C2D"/>
    <w:rsid w:val="00FF50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EE3A"/>
  <w15:chartTrackingRefBased/>
  <w15:docId w15:val="{2CA8EA6B-44EE-454A-8ABA-4BC90441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7A"/>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8587A"/>
    <w:pPr>
      <w:spacing w:after="0" w:line="240" w:lineRule="auto"/>
    </w:pPr>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C8587A"/>
    <w:pPr>
      <w:tabs>
        <w:tab w:val="center" w:pos="4536"/>
        <w:tab w:val="right" w:pos="9072"/>
      </w:tabs>
    </w:pPr>
  </w:style>
  <w:style w:type="character" w:customStyle="1" w:styleId="PodnojeChar">
    <w:name w:val="Podnožje Char"/>
    <w:basedOn w:val="Zadanifontodlomka"/>
    <w:link w:val="Podnoje"/>
    <w:uiPriority w:val="99"/>
    <w:rsid w:val="00C8587A"/>
    <w:rPr>
      <w:rFonts w:ascii="Times New Roman" w:eastAsia="Times New Roman" w:hAnsi="Times New Roman" w:cs="Times New Roman"/>
      <w:sz w:val="20"/>
      <w:szCs w:val="20"/>
      <w:lang w:val="en-US" w:eastAsia="hr-HR"/>
    </w:rPr>
  </w:style>
  <w:style w:type="paragraph" w:styleId="Tijeloteksta">
    <w:name w:val="Body Text"/>
    <w:basedOn w:val="Normal"/>
    <w:link w:val="TijelotekstaChar"/>
    <w:rsid w:val="00C8587A"/>
    <w:pPr>
      <w:widowControl w:val="0"/>
      <w:jc w:val="both"/>
    </w:pPr>
    <w:rPr>
      <w:snapToGrid w:val="0"/>
      <w:lang w:eastAsia="x-none"/>
    </w:rPr>
  </w:style>
  <w:style w:type="character" w:customStyle="1" w:styleId="TijelotekstaChar">
    <w:name w:val="Tijelo teksta Char"/>
    <w:basedOn w:val="Zadanifontodlomka"/>
    <w:link w:val="Tijeloteksta"/>
    <w:rsid w:val="00C8587A"/>
    <w:rPr>
      <w:rFonts w:ascii="Times New Roman" w:eastAsia="Times New Roman" w:hAnsi="Times New Roman" w:cs="Times New Roman"/>
      <w:snapToGrid w:val="0"/>
      <w:sz w:val="20"/>
      <w:szCs w:val="20"/>
      <w:lang w:val="en-US" w:eastAsia="x-none"/>
    </w:rPr>
  </w:style>
  <w:style w:type="table" w:styleId="Reetkatablice">
    <w:name w:val="Table Grid"/>
    <w:basedOn w:val="Obinatablica"/>
    <w:uiPriority w:val="39"/>
    <w:rsid w:val="00B83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CF05D6"/>
    <w:pPr>
      <w:tabs>
        <w:tab w:val="center" w:pos="4536"/>
        <w:tab w:val="right" w:pos="9072"/>
      </w:tabs>
    </w:pPr>
  </w:style>
  <w:style w:type="character" w:customStyle="1" w:styleId="ZaglavljeChar">
    <w:name w:val="Zaglavlje Char"/>
    <w:basedOn w:val="Zadanifontodlomka"/>
    <w:link w:val="Zaglavlje"/>
    <w:uiPriority w:val="99"/>
    <w:rsid w:val="00CF05D6"/>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970</Words>
  <Characters>5532</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Nikolina-PC</dc:creator>
  <cp:keywords/>
  <dc:description/>
  <cp:lastModifiedBy>Nikolina Ćuić Muhvić</cp:lastModifiedBy>
  <cp:revision>5</cp:revision>
  <cp:lastPrinted>2023-12-12T12:50:00Z</cp:lastPrinted>
  <dcterms:created xsi:type="dcterms:W3CDTF">2025-10-24T10:47:00Z</dcterms:created>
  <dcterms:modified xsi:type="dcterms:W3CDTF">2025-11-19T12:25:00Z</dcterms:modified>
</cp:coreProperties>
</file>