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32" w:rsidRPr="00A6180E" w:rsidRDefault="00315E32" w:rsidP="00315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6180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Temeljem članka 72. Zakona o komunalnom gospodarstvu (NN 68/18, 110/18, 32/20), članka 35. Zakona o lokalnoj i područnoj (regionalnoj) samoupravi (NN 33/01, 60/01, 129/05, 109/07, 125/08, 36/09, 150/11, 144/12, 137/15, 123/17</w:t>
      </w:r>
      <w:r w:rsidR="00544D3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98/19 i 144/20</w:t>
      </w:r>
      <w:r w:rsidRPr="00A6180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) i članka 40. Statuta Grada Delnica (SN GD 02/21), Gradsko vijeće Grada Delnica na današnjoj sjednici donosi</w:t>
      </w:r>
    </w:p>
    <w:p w:rsidR="00315E32" w:rsidRPr="00A6180E" w:rsidRDefault="00315E32" w:rsidP="00315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15E32" w:rsidRPr="00A6180E" w:rsidRDefault="00315E32" w:rsidP="00315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6180E">
        <w:rPr>
          <w:rFonts w:ascii="Times New Roman" w:eastAsia="Calibri" w:hAnsi="Times New Roman" w:cs="Times New Roman"/>
          <w:b/>
          <w:sz w:val="24"/>
        </w:rPr>
        <w:t>II. IZMJENE I DOPUNE PROGRAMA ODRŽAVANJA KOMUNALNE INFRASTRUKTURE U 2022. GODINI</w:t>
      </w:r>
    </w:p>
    <w:p w:rsidR="00315E32" w:rsidRPr="00A6180E" w:rsidRDefault="00315E32" w:rsidP="00315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15E32" w:rsidRPr="00A6180E" w:rsidRDefault="00315E32" w:rsidP="00315E3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>Članak 1.</w:t>
      </w:r>
    </w:p>
    <w:p w:rsidR="00315E32" w:rsidRPr="00A6180E" w:rsidRDefault="00315E32" w:rsidP="00315E3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>Donose se II. Izmjene i dopune Programa održavanja komunalne infrastrukture u 2022. godini,  ovi kao i izvori financiranja.</w:t>
      </w:r>
      <w:r w:rsidR="006550ED" w:rsidRPr="006550ED">
        <w:rPr>
          <w:rFonts w:ascii="Times New Roman" w:eastAsia="Calibri" w:hAnsi="Times New Roman" w:cs="Times New Roman"/>
          <w:sz w:val="24"/>
        </w:rPr>
        <w:t xml:space="preserve"> </w:t>
      </w:r>
      <w:r w:rsidR="006550ED" w:rsidRPr="00A6180E">
        <w:rPr>
          <w:rFonts w:ascii="Times New Roman" w:eastAsia="Calibri" w:hAnsi="Times New Roman" w:cs="Times New Roman"/>
          <w:sz w:val="24"/>
        </w:rPr>
        <w:t>koji je objavljen u  Službenim novinama Grada Delnica broj 10/21,  I. Izmjene i dopune Programa objavljene u SN GD  broj 47/22  te se utvrđuje  održavanje komunalne infrastrukture na području Grada Delnica za 2022. godinu, opseg radova, procijenjen</w:t>
      </w:r>
      <w:r w:rsidR="002F5BC4">
        <w:rPr>
          <w:rFonts w:ascii="Times New Roman" w:eastAsia="Calibri" w:hAnsi="Times New Roman" w:cs="Times New Roman"/>
          <w:sz w:val="24"/>
        </w:rPr>
        <w:t xml:space="preserve">u </w:t>
      </w:r>
      <w:r w:rsidR="006550ED" w:rsidRPr="00A6180E">
        <w:rPr>
          <w:rFonts w:ascii="Times New Roman" w:eastAsia="Calibri" w:hAnsi="Times New Roman" w:cs="Times New Roman"/>
          <w:sz w:val="24"/>
        </w:rPr>
        <w:t xml:space="preserve"> trošk</w:t>
      </w:r>
      <w:r w:rsidR="002F5BC4">
        <w:rPr>
          <w:rFonts w:ascii="Times New Roman" w:eastAsia="Calibri" w:hAnsi="Times New Roman" w:cs="Times New Roman"/>
          <w:sz w:val="24"/>
        </w:rPr>
        <w:t>ova.</w:t>
      </w:r>
    </w:p>
    <w:p w:rsidR="00315E32" w:rsidRPr="00A6180E" w:rsidRDefault="00315E32" w:rsidP="00315E3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315E32" w:rsidRPr="00A6180E" w:rsidRDefault="00315E32" w:rsidP="00315E32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>Članak 2.</w:t>
      </w:r>
    </w:p>
    <w:p w:rsidR="00315E32" w:rsidRPr="00A6180E" w:rsidRDefault="00315E32" w:rsidP="00315E3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>Održavanje komunalne infrastrukture i visina potrebnih sredstava te izvori financiranja potrebna za obavljanje djelatnosti održavanja javnih površina, nerazvr</w:t>
      </w:r>
      <w:r w:rsidR="006550ED">
        <w:rPr>
          <w:rFonts w:ascii="Times New Roman" w:eastAsia="Calibri" w:hAnsi="Times New Roman" w:cs="Times New Roman"/>
          <w:sz w:val="24"/>
        </w:rPr>
        <w:t xml:space="preserve">stanih cesta, javne rasvjete i </w:t>
      </w:r>
      <w:r w:rsidRPr="00A6180E">
        <w:rPr>
          <w:rFonts w:ascii="Times New Roman" w:eastAsia="Calibri" w:hAnsi="Times New Roman" w:cs="Times New Roman"/>
          <w:sz w:val="24"/>
        </w:rPr>
        <w:t xml:space="preserve"> utvrđuje se kako slijedi:</w:t>
      </w:r>
    </w:p>
    <w:p w:rsidR="00315E32" w:rsidRPr="00A6180E" w:rsidRDefault="00315E32" w:rsidP="00315E3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br w:type="page"/>
      </w: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843"/>
        <w:gridCol w:w="2986"/>
        <w:gridCol w:w="1412"/>
        <w:gridCol w:w="6"/>
        <w:gridCol w:w="1407"/>
        <w:gridCol w:w="1535"/>
        <w:gridCol w:w="1536"/>
        <w:gridCol w:w="1536"/>
      </w:tblGrid>
      <w:tr w:rsidR="00D47846" w:rsidRPr="00D47846" w:rsidTr="00D47846">
        <w:trPr>
          <w:trHeight w:val="638"/>
          <w:tblHeader/>
        </w:trPr>
        <w:tc>
          <w:tcPr>
            <w:tcW w:w="1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lastRenderedPageBreak/>
              <w:t>Pozicija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Proračunu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9844CB" w:rsidP="009844CB">
            <w:pPr>
              <w:widowControl w:val="0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I.Izmjena</w:t>
            </w:r>
            <w:proofErr w:type="spellEnd"/>
          </w:p>
        </w:tc>
        <w:tc>
          <w:tcPr>
            <w:tcW w:w="141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9844CB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II.Izmjena</w:t>
            </w:r>
            <w:proofErr w:type="spellEnd"/>
          </w:p>
        </w:tc>
        <w:tc>
          <w:tcPr>
            <w:tcW w:w="46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financiranja</w:t>
            </w:r>
            <w:proofErr w:type="spellEnd"/>
          </w:p>
        </w:tc>
      </w:tr>
      <w:tr w:rsidR="00D47846" w:rsidRPr="00D47846" w:rsidTr="00D47846">
        <w:trPr>
          <w:trHeight w:val="637"/>
          <w:tblHeader/>
        </w:trPr>
        <w:tc>
          <w:tcPr>
            <w:tcW w:w="1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Komunalna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izvori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ostalih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izvora</w:t>
            </w:r>
            <w:proofErr w:type="spellEnd"/>
          </w:p>
        </w:tc>
      </w:tr>
      <w:tr w:rsidR="00D47846" w:rsidRPr="00D47846" w:rsidTr="00D47846">
        <w:trPr>
          <w:trHeight w:val="472"/>
          <w:tblHeader/>
        </w:trPr>
        <w:tc>
          <w:tcPr>
            <w:tcW w:w="1377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846">
              <w:rPr>
                <w:rFonts w:eastAsia="Calibri"/>
                <w:b/>
                <w:sz w:val="20"/>
                <w:szCs w:val="20"/>
              </w:rPr>
              <w:t>I. ODRŽAVANJE JAVNIH POVRŠINA</w:t>
            </w: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Odvoz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smeća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javnih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površima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74269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Odvoz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smeća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vrši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gram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se 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kontejnerima</w:t>
            </w:r>
            <w:proofErr w:type="spellEnd"/>
            <w:proofErr w:type="gram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javnih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površina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prostora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gdje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se ne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vrši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organizirani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odvoz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otpada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(Dedin,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Zapolje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Brodsko</w:t>
            </w:r>
            <w:proofErr w:type="spellEnd"/>
            <w:r w:rsidRPr="00D478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).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20.000,0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58A" w:rsidRPr="00D47846" w:rsidRDefault="00EA158A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  <w:r w:rsidR="00A6180E"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ZP</w:t>
            </w:r>
          </w:p>
          <w:p w:rsidR="00315E32" w:rsidRPr="00D47846" w:rsidRDefault="00315E32" w:rsidP="00A618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  <w:r w:rsidR="00A6180E"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.1 JPP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Čišćenje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javno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prometnih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zelenih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80E" w:rsidRPr="00D47846" w:rsidRDefault="00A6180E" w:rsidP="00A6180E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sz w:val="20"/>
                <w:szCs w:val="20"/>
              </w:rPr>
              <w:t>Čišćenje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cesta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javno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prometnih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površina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- 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povećana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 u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iznosu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od </w:t>
            </w:r>
            <w:r w:rsidR="00F97C2E" w:rsidRPr="00D47846">
              <w:rPr>
                <w:rFonts w:eastAsia="Calibri"/>
                <w:sz w:val="20"/>
                <w:szCs w:val="20"/>
              </w:rPr>
              <w:t>260.000,00</w:t>
            </w:r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kn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odnosi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se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poslove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koje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izvršava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KTD „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Risnjak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Delnice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“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d.o.o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zelenim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površinama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to 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povećani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opseg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intenzitet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košnje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zelenih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površina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unutar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naselja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parkovi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nasadi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zeleni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otoci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) u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Delnicama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Crnom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Lugu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Brodu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Kupi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F97C2E" w:rsidRPr="00D47846">
              <w:rPr>
                <w:rFonts w:eastAsia="Calibri"/>
                <w:sz w:val="20"/>
                <w:szCs w:val="20"/>
              </w:rPr>
              <w:t>te</w:t>
            </w:r>
            <w:proofErr w:type="spellEnd"/>
            <w:r w:rsidR="00F97C2E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F97C2E" w:rsidRPr="00D47846">
              <w:rPr>
                <w:rFonts w:eastAsia="Calibri"/>
                <w:sz w:val="20"/>
                <w:szCs w:val="20"/>
              </w:rPr>
              <w:t>p</w:t>
            </w:r>
            <w:r w:rsidRPr="00D47846">
              <w:rPr>
                <w:rFonts w:eastAsia="Calibri"/>
                <w:sz w:val="20"/>
                <w:szCs w:val="20"/>
              </w:rPr>
              <w:t>otok</w:t>
            </w:r>
            <w:r w:rsidR="00F97C2E" w:rsidRPr="00D47846">
              <w:rPr>
                <w:rFonts w:eastAsia="Calibri"/>
                <w:sz w:val="20"/>
                <w:szCs w:val="20"/>
              </w:rPr>
              <w:t>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>.</w:t>
            </w:r>
          </w:p>
          <w:p w:rsidR="00315E32" w:rsidRPr="00D47846" w:rsidRDefault="00315E32" w:rsidP="00A6180E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19FC" w:rsidRPr="00D47846" w:rsidRDefault="00AC19FC" w:rsidP="00FC4E7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  <w:p w:rsidR="00315E32" w:rsidRPr="00D47846" w:rsidRDefault="00EA158A" w:rsidP="00FC4E72">
            <w:pPr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sz w:val="20"/>
                <w:szCs w:val="20"/>
                <w:lang w:eastAsia="hr-HR"/>
              </w:rPr>
              <w:t>1.750.000,00</w:t>
            </w:r>
          </w:p>
          <w:p w:rsidR="00EA158A" w:rsidRPr="00D47846" w:rsidRDefault="00AC19FC" w:rsidP="00FC4E72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1.050.000,00</w:t>
            </w:r>
          </w:p>
          <w:p w:rsidR="00AC19FC" w:rsidRPr="00D47846" w:rsidRDefault="00345B0B" w:rsidP="00FC4E72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  </w:t>
            </w:r>
            <w:r w:rsidR="00AC19FC" w:rsidRPr="00D47846">
              <w:rPr>
                <w:rFonts w:eastAsia="Times New Roman"/>
                <w:sz w:val="20"/>
                <w:szCs w:val="20"/>
                <w:lang w:eastAsia="hr-HR"/>
              </w:rPr>
              <w:t>700.000,00</w:t>
            </w:r>
          </w:p>
          <w:p w:rsidR="00EA158A" w:rsidRPr="00D47846" w:rsidRDefault="00EA158A" w:rsidP="00FC4E7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F97C2E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sz w:val="20"/>
                <w:szCs w:val="20"/>
                <w:lang w:eastAsia="hr-HR"/>
              </w:rPr>
              <w:t>2.010.</w:t>
            </w:r>
            <w:r w:rsidR="00315E32" w:rsidRPr="00D47846">
              <w:rPr>
                <w:rFonts w:eastAsia="Times New Roman"/>
                <w:b/>
                <w:sz w:val="20"/>
                <w:szCs w:val="20"/>
                <w:lang w:eastAsia="hr-HR"/>
              </w:rPr>
              <w:t>000,00</w:t>
            </w:r>
          </w:p>
          <w:p w:rsidR="00DE1248" w:rsidRPr="00D47846" w:rsidRDefault="00F97C2E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1.12</w:t>
            </w:r>
            <w:r w:rsidR="00DE1248"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  <w:p w:rsidR="00EA158A" w:rsidRPr="00D47846" w:rsidRDefault="00345B0B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  </w:t>
            </w:r>
            <w:r w:rsidR="00F97C2E" w:rsidRPr="00D47846">
              <w:rPr>
                <w:rFonts w:eastAsia="Times New Roman"/>
                <w:sz w:val="20"/>
                <w:szCs w:val="20"/>
                <w:lang w:eastAsia="hr-HR"/>
              </w:rPr>
              <w:t>89</w:t>
            </w:r>
            <w:r w:rsidR="00EA158A"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F97C2E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sz w:val="20"/>
                <w:szCs w:val="20"/>
                <w:lang w:eastAsia="hr-HR"/>
              </w:rPr>
              <w:t>2.010.</w:t>
            </w:r>
            <w:r w:rsidR="00315E32" w:rsidRPr="00D47846">
              <w:rPr>
                <w:rFonts w:eastAsia="Times New Roman"/>
                <w:b/>
                <w:sz w:val="20"/>
                <w:szCs w:val="20"/>
                <w:lang w:eastAsia="hr-HR"/>
              </w:rPr>
              <w:t>000,00</w:t>
            </w:r>
          </w:p>
          <w:p w:rsidR="00DE1248" w:rsidRPr="00D47846" w:rsidRDefault="00EA158A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1.</w:t>
            </w:r>
            <w:r w:rsidR="00F97C2E" w:rsidRPr="00D47846">
              <w:rPr>
                <w:rFonts w:eastAsia="Times New Roman"/>
                <w:sz w:val="20"/>
                <w:szCs w:val="20"/>
                <w:lang w:eastAsia="hr-HR"/>
              </w:rPr>
              <w:t>12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  <w:r w:rsidR="00DE1248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  <w:p w:rsidR="00EA158A" w:rsidRPr="00D47846" w:rsidRDefault="00345B0B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  </w:t>
            </w:r>
            <w:r w:rsidR="00F97C2E" w:rsidRPr="00D47846">
              <w:rPr>
                <w:rFonts w:eastAsia="Times New Roman"/>
                <w:sz w:val="20"/>
                <w:szCs w:val="20"/>
                <w:lang w:eastAsia="hr-HR"/>
              </w:rPr>
              <w:t>89</w:t>
            </w:r>
            <w:r w:rsidR="00EA158A"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330.2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nabava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dječjih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igrala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urbane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opreme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6180E" w:rsidRPr="00D47846" w:rsidRDefault="00A6180E" w:rsidP="00A6180E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sz w:val="20"/>
                <w:szCs w:val="20"/>
              </w:rPr>
              <w:t>Održavanje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dječjih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igrala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urbane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opreme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povećana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iznosu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od 10.000,00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kn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za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popravak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urbane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opreme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Crnom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Lugu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Brodu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Kupi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15E32" w:rsidRPr="00D47846" w:rsidRDefault="00315E32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A158A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A158A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2F5BC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331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nepredviđeni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74269" w:rsidP="00A6180E">
            <w:pPr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Tijekom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potrebno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izvršiti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određene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radnje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javnim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površinama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koje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se ne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mogu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predvidjeti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gram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</w:t>
            </w:r>
            <w:proofErr w:type="gram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odnose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hitne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intervencije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uslijed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nastalih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šteta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zemljištu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opremi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kojima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sprječava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veća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materijalna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šteta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uklanjaju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opasnosti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korisnike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prostora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CD6D7B" w:rsidP="00CD6D7B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55</w:t>
            </w:r>
            <w:r w:rsidR="002F5BC4"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divljih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deponija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15E32" w:rsidRPr="00D47846" w:rsidRDefault="00A6180E" w:rsidP="00A6180E">
            <w:pPr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Tijekom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ožujka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travnja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nekoliko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navrata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snirani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deponiji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području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Grada</w:t>
            </w:r>
            <w:proofErr w:type="spellEnd"/>
            <w:r w:rsidR="00F97C2E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I to </w:t>
            </w:r>
            <w:proofErr w:type="spellStart"/>
            <w:r w:rsidR="00F97C2E" w:rsidRPr="00D47846">
              <w:rPr>
                <w:rFonts w:eastAsia="Times New Roman"/>
                <w:sz w:val="20"/>
                <w:szCs w:val="20"/>
                <w:lang w:eastAsia="hr-HR"/>
              </w:rPr>
              <w:t>barutana</w:t>
            </w:r>
            <w:proofErr w:type="spellEnd"/>
            <w:r w:rsidR="00F97C2E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, V-1 , </w:t>
            </w:r>
            <w:proofErr w:type="spellStart"/>
            <w:r w:rsidR="00F97C2E" w:rsidRPr="00D47846">
              <w:rPr>
                <w:rFonts w:eastAsia="Times New Roman"/>
                <w:sz w:val="20"/>
                <w:szCs w:val="20"/>
                <w:lang w:eastAsia="hr-HR"/>
              </w:rPr>
              <w:t>nafotovod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AC19FC" w:rsidP="00AC19FC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35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64928" w:rsidP="00EA158A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EA158A" w:rsidRPr="00D47846">
              <w:rPr>
                <w:rFonts w:eastAsia="Times New Roman"/>
                <w:sz w:val="20"/>
                <w:szCs w:val="20"/>
                <w:lang w:eastAsia="hr-HR"/>
              </w:rPr>
              <w:t>7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.000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64928" w:rsidP="00EA158A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EA158A" w:rsidRPr="00D47846">
              <w:rPr>
                <w:rFonts w:eastAsia="Times New Roman"/>
                <w:sz w:val="20"/>
                <w:szCs w:val="20"/>
                <w:lang w:eastAsia="hr-HR"/>
              </w:rPr>
              <w:t>7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337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Novogodišnje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ukrašavanje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45B0B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Montaža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demontaža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novogodišnje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dekoracije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spajanje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ukrasa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stupove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javne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r</w:t>
            </w:r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asvjete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nabava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novih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ukrasa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povećana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obzirom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broj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lokacija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te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nabavu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montažu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novih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ukrasa</w:t>
            </w:r>
            <w:proofErr w:type="spellEnd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sadržaja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AC19FC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20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64928" w:rsidP="00345B0B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</w:t>
            </w:r>
            <w:r w:rsidR="00345B0B" w:rsidRPr="00D47846">
              <w:rPr>
                <w:rFonts w:eastAsia="Times New Roman"/>
                <w:sz w:val="20"/>
                <w:szCs w:val="20"/>
                <w:lang w:eastAsia="hr-HR"/>
              </w:rPr>
              <w:t>40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45B0B" w:rsidP="00345B0B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340</w:t>
            </w:r>
            <w:r w:rsidR="00E64928"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Deratizacija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dezinsekcija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74269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skladu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pozitivnim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zakonskim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propisima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dva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puta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godišnje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vrši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deratizacija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dezinsekcija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javnih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površina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prema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planu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programu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tekuću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C3630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C36302" w:rsidRPr="00D47846">
              <w:rPr>
                <w:rFonts w:eastAsia="Times New Roman"/>
                <w:sz w:val="20"/>
                <w:szCs w:val="20"/>
                <w:lang w:eastAsia="hr-HR"/>
              </w:rPr>
              <w:t>5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.000,00.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C37D6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5BC4" w:rsidP="003C37D6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326.1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Veterinarske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15E32" w:rsidRPr="00D47846" w:rsidRDefault="003C37D6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Novim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ugovorom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sklopljenim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rujnu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2022.</w:t>
            </w:r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>Veterinarskom</w:t>
            </w:r>
            <w:proofErr w:type="spellEnd"/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>stanicom</w:t>
            </w:r>
            <w:proofErr w:type="spellEnd"/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>Rijeci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obavljanju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veterinarskih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usluga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došlo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je od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povećanja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podređenih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pozicija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troškovniku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00517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00517" w:rsidP="0090051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115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723C7D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349.1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723C7D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Potreošnja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el.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energije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javnim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površinama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723C7D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Zbog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novogodišnje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dekoracije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povećan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iznos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za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1.000,00 kn.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723C7D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723C7D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F303F7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326.4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sportskih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objekata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terena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15E32" w:rsidRPr="00D47846" w:rsidRDefault="00315E32" w:rsidP="008E6FE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Održavanje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sportskih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objekata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terena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području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Grada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Delnica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povjereno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je GSC-u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d.o.o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>povećan</w:t>
            </w:r>
            <w:proofErr w:type="spellEnd"/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je </w:t>
            </w:r>
            <w:proofErr w:type="spellStart"/>
            <w:proofErr w:type="gramStart"/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>iznos</w:t>
            </w:r>
            <w:proofErr w:type="spellEnd"/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sufinancira</w:t>
            </w:r>
            <w:r w:rsidR="008E6FE2" w:rsidRPr="00D47846">
              <w:rPr>
                <w:rFonts w:eastAsia="Times New Roman"/>
                <w:sz w:val="20"/>
                <w:szCs w:val="20"/>
                <w:lang w:eastAsia="hr-HR"/>
              </w:rPr>
              <w:t>nja</w:t>
            </w:r>
            <w:proofErr w:type="spellEnd"/>
            <w:proofErr w:type="gram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navedene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aktivnosti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svake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godine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određenom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iznosu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a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sve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prema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planu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održavanja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GSC-a.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Uslijed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povećanja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cijene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energenata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nužno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povećati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stavku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ovoj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aktivnosti</w:t>
            </w:r>
            <w:proofErr w:type="spellEnd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>te</w:t>
            </w:r>
            <w:proofErr w:type="spellEnd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>nabave</w:t>
            </w:r>
            <w:proofErr w:type="spellEnd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>sportske</w:t>
            </w:r>
            <w:proofErr w:type="spellEnd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>opeme</w:t>
            </w:r>
            <w:proofErr w:type="spellEnd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>utezi</w:t>
            </w:r>
            <w:proofErr w:type="spellEnd"/>
            <w:proofErr w:type="gramStart"/>
            <w:r w:rsidR="00556EC9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) 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</w:t>
            </w:r>
            <w:proofErr w:type="gram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00517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300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00517" w:rsidP="00752EF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00517" w:rsidP="00752EF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rPr>
          <w:trHeight w:val="471"/>
        </w:trPr>
        <w:tc>
          <w:tcPr>
            <w:tcW w:w="634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 ODRŽAVANJE JAVNIH POVRŠINA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15E32" w:rsidRPr="00A6180E" w:rsidRDefault="00315E32" w:rsidP="00315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315E32" w:rsidRPr="00A6180E" w:rsidRDefault="00315E32" w:rsidP="00315E3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br w:type="page"/>
      </w: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0"/>
        <w:gridCol w:w="1833"/>
        <w:gridCol w:w="10"/>
        <w:gridCol w:w="2976"/>
        <w:gridCol w:w="1412"/>
        <w:gridCol w:w="6"/>
        <w:gridCol w:w="1407"/>
        <w:gridCol w:w="1535"/>
        <w:gridCol w:w="1536"/>
        <w:gridCol w:w="1536"/>
      </w:tblGrid>
      <w:tr w:rsidR="00D47846" w:rsidRPr="00D47846" w:rsidTr="00D47846">
        <w:trPr>
          <w:trHeight w:val="638"/>
          <w:tblHeader/>
        </w:trPr>
        <w:tc>
          <w:tcPr>
            <w:tcW w:w="1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lastRenderedPageBreak/>
              <w:t>Pozicija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Proračunu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2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1B3102" w:rsidP="001B3102">
            <w:pPr>
              <w:pStyle w:val="Odlomakpopisa"/>
              <w:widowControl w:val="0"/>
              <w:spacing w:line="276" w:lineRule="auto"/>
              <w:ind w:left="195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I.izmjena</w:t>
            </w:r>
            <w:proofErr w:type="spellEnd"/>
          </w:p>
        </w:tc>
        <w:tc>
          <w:tcPr>
            <w:tcW w:w="141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1B3102" w:rsidP="001B3102">
            <w:pPr>
              <w:widowControl w:val="0"/>
              <w:spacing w:line="276" w:lineRule="auto"/>
              <w:ind w:left="195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II.Izmjena</w:t>
            </w:r>
            <w:proofErr w:type="spellEnd"/>
          </w:p>
        </w:tc>
        <w:tc>
          <w:tcPr>
            <w:tcW w:w="46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financiranja</w:t>
            </w:r>
            <w:proofErr w:type="spellEnd"/>
          </w:p>
        </w:tc>
      </w:tr>
      <w:tr w:rsidR="00D47846" w:rsidRPr="00D47846" w:rsidTr="00D47846">
        <w:trPr>
          <w:trHeight w:val="637"/>
          <w:tblHeader/>
        </w:trPr>
        <w:tc>
          <w:tcPr>
            <w:tcW w:w="1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Komunalna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izvori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ostalih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izvora</w:t>
            </w:r>
            <w:proofErr w:type="spellEnd"/>
          </w:p>
        </w:tc>
      </w:tr>
      <w:tr w:rsidR="00D47846" w:rsidRPr="00D47846" w:rsidTr="00D47846">
        <w:trPr>
          <w:trHeight w:val="472"/>
          <w:tblHeader/>
        </w:trPr>
        <w:tc>
          <w:tcPr>
            <w:tcW w:w="1377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846">
              <w:rPr>
                <w:rFonts w:eastAsia="Calibri"/>
                <w:b/>
                <w:sz w:val="20"/>
                <w:szCs w:val="20"/>
              </w:rPr>
              <w:t>II. ODRŽAVANJE NERAZVRSTANIH CESTA</w:t>
            </w:r>
          </w:p>
        </w:tc>
      </w:tr>
      <w:tr w:rsidR="00D47846" w:rsidRPr="00D47846" w:rsidTr="00D47846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ZIMSKA SLUŽBA</w:t>
            </w: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Zimska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služba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čišćenje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snijega</w:t>
            </w:r>
            <w:proofErr w:type="spellEnd"/>
          </w:p>
        </w:tc>
        <w:tc>
          <w:tcPr>
            <w:tcW w:w="29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21A92" w:rsidRPr="00D47846" w:rsidRDefault="00A21A92" w:rsidP="00A21A9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sz w:val="20"/>
                <w:szCs w:val="20"/>
              </w:rPr>
              <w:t>Zimska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služba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čišćenje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snijega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povećana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iznosu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od 753.700,00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kn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za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studeni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prosinac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2022. </w:t>
            </w:r>
            <w:proofErr w:type="spellStart"/>
            <w:proofErr w:type="gramStart"/>
            <w:r w:rsidRPr="00D47846">
              <w:rPr>
                <w:rFonts w:eastAsia="Calibri"/>
                <w:sz w:val="20"/>
                <w:szCs w:val="20"/>
              </w:rPr>
              <w:t>godine</w:t>
            </w:r>
            <w:proofErr w:type="spellEnd"/>
            <w:proofErr w:type="gramEnd"/>
            <w:r w:rsidRPr="00D47846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Iznos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od 1.702.512</w:t>
            </w:r>
            <w:proofErr w:type="gramStart"/>
            <w:r w:rsidRPr="00D47846">
              <w:rPr>
                <w:rFonts w:eastAsia="Calibri"/>
                <w:sz w:val="20"/>
                <w:szCs w:val="20"/>
              </w:rPr>
              <w:t>,07</w:t>
            </w:r>
            <w:proofErr w:type="gramEnd"/>
            <w:r w:rsidRPr="00D47846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kn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utrošen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je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početkom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2022.godine.</w:t>
            </w:r>
          </w:p>
          <w:p w:rsidR="00315E32" w:rsidRPr="00D47846" w:rsidRDefault="00315E32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00517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2.046.240,00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752EF1" w:rsidP="0090051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2.</w:t>
            </w:r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8</w:t>
            </w:r>
            <w:r w:rsidR="00900517" w:rsidRPr="00D47846">
              <w:rPr>
                <w:rFonts w:eastAsia="Times New Roman"/>
                <w:sz w:val="20"/>
                <w:szCs w:val="20"/>
                <w:lang w:eastAsia="hr-HR"/>
              </w:rPr>
              <w:t>00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00517" w:rsidP="0090051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752EF1" w:rsidRPr="00D47846">
              <w:rPr>
                <w:rFonts w:eastAsia="Times New Roman"/>
                <w:sz w:val="20"/>
                <w:szCs w:val="20"/>
                <w:lang w:eastAsia="hr-HR"/>
              </w:rPr>
              <w:t>.</w:t>
            </w:r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3</w:t>
            </w:r>
            <w:r w:rsidR="00752EF1" w:rsidRPr="00D47846">
              <w:rPr>
                <w:rFonts w:eastAsia="Times New Roman"/>
                <w:sz w:val="20"/>
                <w:szCs w:val="20"/>
                <w:lang w:eastAsia="hr-HR"/>
              </w:rPr>
              <w:t>00,000,00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Tekuće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pomoći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izvanproračunskih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korisnika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Hrvatske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ceste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)</w:t>
            </w:r>
          </w:p>
        </w:tc>
      </w:tr>
      <w:tr w:rsidR="00D47846" w:rsidRPr="00D47846" w:rsidTr="00D47846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zimska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služba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A21A9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2.046.240,00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A21A9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A21A9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A21A9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 I REKONSTRUKCIJA CESTA</w:t>
            </w:r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338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Nepredviđeni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popravci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5E32" w:rsidRPr="00D47846" w:rsidRDefault="00315E32" w:rsidP="00A21A9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Hitne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intervencije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umanjene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su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za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iznos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od 100.000,00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kn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koji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su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izvršeni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do </w:t>
            </w:r>
            <w:proofErr w:type="gram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16.rujna 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odnosno</w:t>
            </w:r>
            <w:proofErr w:type="spellEnd"/>
            <w:proofErr w:type="gram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29. </w:t>
            </w:r>
            <w:proofErr w:type="spellStart"/>
            <w:proofErr w:type="gram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rujna</w:t>
            </w:r>
            <w:proofErr w:type="spellEnd"/>
            <w:proofErr w:type="gram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2022. </w:t>
            </w:r>
            <w:proofErr w:type="spellStart"/>
            <w:proofErr w:type="gram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godine</w:t>
            </w:r>
            <w:proofErr w:type="spellEnd"/>
            <w:proofErr w:type="gram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kad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uslijed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nevremena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proglašena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prirodna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nepogoda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Ti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popravci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NC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vode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zasebnoj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poziciji</w:t>
            </w:r>
            <w:proofErr w:type="spellEnd"/>
            <w:r w:rsidR="00A21A92" w:rsidRPr="00D47846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A11BE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15</w:t>
            </w:r>
            <w:r w:rsidR="004F0665"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4F0665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2A11BE" w:rsidRPr="00D47846">
              <w:rPr>
                <w:rFonts w:eastAsia="Times New Roman"/>
                <w:sz w:val="20"/>
                <w:szCs w:val="20"/>
                <w:lang w:eastAsia="hr-HR"/>
              </w:rPr>
              <w:t>5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makadam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cesta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15E32" w:rsidRPr="00D47846" w:rsidRDefault="00315E32" w:rsidP="00C368F1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Radovi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redovnom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održavanju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makadam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cesta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povećani</w:t>
            </w:r>
            <w:proofErr w:type="spellEnd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su</w:t>
            </w:r>
            <w:proofErr w:type="spellEnd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za</w:t>
            </w:r>
            <w:proofErr w:type="spellEnd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10.000,00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kn</w:t>
            </w:r>
            <w:proofErr w:type="spellEnd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gram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a 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s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astoje</w:t>
            </w:r>
            <w:proofErr w:type="spellEnd"/>
            <w:proofErr w:type="gram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se 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od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zemljanih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radova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pripreme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podloge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za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sanaciju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vododerina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ugradnja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fila,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čišćenje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propusta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odvodnih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kanala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berma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bankina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Crnom</w:t>
            </w:r>
            <w:proofErr w:type="spellEnd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Lugu</w:t>
            </w:r>
            <w:proofErr w:type="spellEnd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Dedinu</w:t>
            </w:r>
            <w:proofErr w:type="spellEnd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Podgori</w:t>
            </w:r>
            <w:proofErr w:type="spellEnd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Krašićevici</w:t>
            </w:r>
            <w:proofErr w:type="spellEnd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="00C368F1" w:rsidRPr="00D47846">
              <w:rPr>
                <w:rFonts w:eastAsia="Times New Roman"/>
                <w:sz w:val="20"/>
                <w:szCs w:val="20"/>
                <w:lang w:eastAsia="hr-HR"/>
              </w:rPr>
              <w:t>Okrugu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23BAB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15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4F0665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4F0665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336.1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udarnih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rupa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nerazvrstanim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cestama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5E32" w:rsidRPr="00D47846" w:rsidRDefault="00C368F1" w:rsidP="005E3F5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udarnih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rupa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–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aktivnost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povećana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za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iznos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od</w:t>
            </w:r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85.000,00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kn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a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odnosi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naloge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iz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prethodne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godine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koji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su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izvršeni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proofErr w:type="gram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ovoj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(</w:t>
            </w:r>
            <w:proofErr w:type="gram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Polane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Delnice</w:t>
            </w:r>
            <w:proofErr w:type="spellEnd"/>
            <w:r w:rsidR="005E3F52" w:rsidRPr="00D47846">
              <w:rPr>
                <w:rFonts w:eastAsia="Times New Roman"/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23BAB" w:rsidP="00E23BAB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20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23BAB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285</w:t>
            </w:r>
            <w:r w:rsidR="004F0665"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4F0665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A24183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A24183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sz w:val="20"/>
                <w:szCs w:val="20"/>
              </w:rPr>
              <w:t>Šumski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doprinos</w:t>
            </w:r>
            <w:proofErr w:type="spellEnd"/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A11BE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421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A11BE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prema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poslovnoj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zoni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Malo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Selo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3235" w:rsidRPr="00D47846" w:rsidRDefault="00093235" w:rsidP="00093235">
            <w:pPr>
              <w:jc w:val="both"/>
              <w:rPr>
                <w:sz w:val="20"/>
                <w:szCs w:val="20"/>
              </w:rPr>
            </w:pPr>
            <w:proofErr w:type="spellStart"/>
            <w:r w:rsidRPr="00D47846">
              <w:rPr>
                <w:sz w:val="20"/>
                <w:szCs w:val="20"/>
              </w:rPr>
              <w:t>Sanacija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ceste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prema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poslovnoj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zoni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Malo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Selo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planirana</w:t>
            </w:r>
            <w:proofErr w:type="spellEnd"/>
            <w:r w:rsidRPr="00D47846">
              <w:rPr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sz w:val="20"/>
                <w:szCs w:val="20"/>
              </w:rPr>
              <w:t>iznosu</w:t>
            </w:r>
            <w:proofErr w:type="spellEnd"/>
            <w:r w:rsidRPr="00D47846">
              <w:rPr>
                <w:sz w:val="20"/>
                <w:szCs w:val="20"/>
              </w:rPr>
              <w:t xml:space="preserve"> od 160.000,00 </w:t>
            </w:r>
            <w:proofErr w:type="spellStart"/>
            <w:r w:rsidRPr="00D47846">
              <w:rPr>
                <w:sz w:val="20"/>
                <w:szCs w:val="20"/>
              </w:rPr>
              <w:t>kn</w:t>
            </w:r>
            <w:proofErr w:type="spellEnd"/>
            <w:r w:rsidRPr="00D47846">
              <w:rPr>
                <w:sz w:val="20"/>
                <w:szCs w:val="20"/>
              </w:rPr>
              <w:t xml:space="preserve"> a </w:t>
            </w:r>
            <w:proofErr w:type="spellStart"/>
            <w:r w:rsidRPr="00D47846">
              <w:rPr>
                <w:sz w:val="20"/>
                <w:szCs w:val="20"/>
              </w:rPr>
              <w:t>podrazumijeva</w:t>
            </w:r>
            <w:proofErr w:type="spellEnd"/>
            <w:r w:rsidRPr="00D47846">
              <w:rPr>
                <w:sz w:val="20"/>
                <w:szCs w:val="20"/>
              </w:rPr>
              <w:t xml:space="preserve">  </w:t>
            </w:r>
            <w:proofErr w:type="spellStart"/>
            <w:r w:rsidRPr="00D47846">
              <w:rPr>
                <w:sz w:val="20"/>
                <w:szCs w:val="20"/>
              </w:rPr>
              <w:t>skidanje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postojećeg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asfalta</w:t>
            </w:r>
            <w:proofErr w:type="spellEnd"/>
            <w:r w:rsidRPr="00D47846">
              <w:rPr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sz w:val="20"/>
                <w:szCs w:val="20"/>
              </w:rPr>
              <w:lastRenderedPageBreak/>
              <w:t>dobavu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i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ugradnju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zamjenskog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materijala</w:t>
            </w:r>
            <w:proofErr w:type="spellEnd"/>
            <w:r w:rsidRPr="00D47846">
              <w:rPr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sz w:val="20"/>
                <w:szCs w:val="20"/>
              </w:rPr>
              <w:t>tampona</w:t>
            </w:r>
            <w:proofErr w:type="spellEnd"/>
            <w:r w:rsidRPr="00D47846">
              <w:rPr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sz w:val="20"/>
                <w:szCs w:val="20"/>
              </w:rPr>
              <w:t>nosivog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sloja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asfalta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debljine</w:t>
            </w:r>
            <w:proofErr w:type="spellEnd"/>
            <w:r w:rsidRPr="00D47846">
              <w:rPr>
                <w:sz w:val="20"/>
                <w:szCs w:val="20"/>
              </w:rPr>
              <w:t xml:space="preserve"> 6 cm u  </w:t>
            </w:r>
            <w:proofErr w:type="spellStart"/>
            <w:r w:rsidRPr="00D47846">
              <w:rPr>
                <w:sz w:val="20"/>
                <w:szCs w:val="20"/>
              </w:rPr>
              <w:t>širini</w:t>
            </w:r>
            <w:proofErr w:type="spellEnd"/>
            <w:r w:rsidRPr="00D47846">
              <w:rPr>
                <w:sz w:val="20"/>
                <w:szCs w:val="20"/>
              </w:rPr>
              <w:t xml:space="preserve"> 3,5 </w:t>
            </w:r>
            <w:proofErr w:type="spellStart"/>
            <w:r w:rsidRPr="00D47846">
              <w:rPr>
                <w:sz w:val="20"/>
                <w:szCs w:val="20"/>
              </w:rPr>
              <w:t>metra</w:t>
            </w:r>
            <w:proofErr w:type="spellEnd"/>
            <w:r w:rsidRPr="00D47846">
              <w:rPr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sz w:val="20"/>
                <w:szCs w:val="20"/>
              </w:rPr>
              <w:t>te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habajućeg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sloja</w:t>
            </w:r>
            <w:proofErr w:type="spellEnd"/>
            <w:r w:rsidRPr="00D47846">
              <w:rPr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sz w:val="20"/>
                <w:szCs w:val="20"/>
              </w:rPr>
              <w:t>visini</w:t>
            </w:r>
            <w:proofErr w:type="spellEnd"/>
            <w:r w:rsidRPr="00D47846">
              <w:rPr>
                <w:sz w:val="20"/>
                <w:szCs w:val="20"/>
              </w:rPr>
              <w:t xml:space="preserve"> 4 cm  </w:t>
            </w:r>
            <w:proofErr w:type="spellStart"/>
            <w:r w:rsidRPr="00D47846">
              <w:rPr>
                <w:sz w:val="20"/>
                <w:szCs w:val="20"/>
              </w:rPr>
              <w:t>uz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potrebne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bankine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i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iskop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kanala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za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oborinsku</w:t>
            </w:r>
            <w:proofErr w:type="spellEnd"/>
            <w:r w:rsidRPr="00D47846">
              <w:rPr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sz w:val="20"/>
                <w:szCs w:val="20"/>
              </w:rPr>
              <w:t>odvodnju</w:t>
            </w:r>
            <w:proofErr w:type="spellEnd"/>
            <w:r w:rsidRPr="00D47846">
              <w:rPr>
                <w:sz w:val="20"/>
                <w:szCs w:val="20"/>
              </w:rPr>
              <w:t>.</w:t>
            </w:r>
          </w:p>
          <w:p w:rsidR="00315E32" w:rsidRPr="00D47846" w:rsidRDefault="00315E32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A11BE" w:rsidP="002F4808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16</w:t>
            </w:r>
            <w:r w:rsidR="002F4808" w:rsidRPr="00D47846">
              <w:rPr>
                <w:rFonts w:eastAsia="Times New Roman"/>
                <w:sz w:val="20"/>
                <w:szCs w:val="20"/>
                <w:lang w:eastAsia="hr-HR"/>
              </w:rPr>
              <w:t>0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190" w:rsidRPr="00D47846" w:rsidRDefault="002A11BE" w:rsidP="002F4808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16</w:t>
            </w:r>
            <w:r w:rsidR="002F4808" w:rsidRPr="00D47846">
              <w:rPr>
                <w:rFonts w:eastAsia="Times New Roman"/>
                <w:sz w:val="20"/>
                <w:szCs w:val="20"/>
                <w:lang w:eastAsia="hr-HR"/>
              </w:rPr>
              <w:t>0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4808" w:rsidP="002F4808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115</w:t>
            </w:r>
            <w:r w:rsidR="002A11BE"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11BE" w:rsidRPr="00D47846" w:rsidRDefault="002A11BE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  <w:p w:rsidR="00315E32" w:rsidRPr="00D47846" w:rsidRDefault="002A11BE" w:rsidP="002A11BE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45.000,00</w:t>
            </w:r>
          </w:p>
          <w:p w:rsidR="002A11BE" w:rsidRPr="00D47846" w:rsidRDefault="002A11BE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A11BE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Primorsko-goranska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županij</w:t>
            </w:r>
            <w:r w:rsidR="002F4808" w:rsidRPr="00D47846">
              <w:rPr>
                <w:rFonts w:eastAsia="Times New Roman"/>
                <w:sz w:val="20"/>
                <w:szCs w:val="20"/>
                <w:lang w:eastAsia="hr-HR"/>
              </w:rPr>
              <w:t>a</w:t>
            </w:r>
            <w:proofErr w:type="spellEnd"/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338.1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Nogostup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spoj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Lujzinske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prema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B/K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sz w:val="20"/>
                <w:szCs w:val="20"/>
              </w:rPr>
              <w:t>Nogostup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uz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državnu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cestu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DC203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od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križanja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sa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Šet.I.G.Kovačića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do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Lujzinske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ceste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je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uništen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te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je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potrebno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skinuti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postojeći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asfaltni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sloj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isplanirati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podlogu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ugraditi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novi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sloj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asfalta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AC surf 8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te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izmijeniti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postojeće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parkovne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rubnjake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dužini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od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cca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280m.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85190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3102" w:rsidRPr="00D47846" w:rsidRDefault="001B310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326.5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3102" w:rsidRPr="00D47846" w:rsidRDefault="001B310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Štete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nerazvrstanim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cestama-poplave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3CE4" w:rsidRPr="00D47846" w:rsidRDefault="00E03CE4" w:rsidP="00E03CE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sz w:val="20"/>
                <w:szCs w:val="20"/>
              </w:rPr>
              <w:t>Štete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nerazvrstanim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cestama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poplave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tijekom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2022.  </w:t>
            </w:r>
            <w:proofErr w:type="spellStart"/>
            <w:proofErr w:type="gramStart"/>
            <w:r w:rsidRPr="00D47846">
              <w:rPr>
                <w:rFonts w:eastAsia="Calibri"/>
                <w:sz w:val="20"/>
                <w:szCs w:val="20"/>
              </w:rPr>
              <w:t>godine</w:t>
            </w:r>
            <w:proofErr w:type="spellEnd"/>
            <w:proofErr w:type="gram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izvršena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sanacija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šteta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iznosu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od 400.000,00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kn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lokacije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Nadkrivac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ZapoljeBrodsko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Podgora,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Kočićin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Turke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Donji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okrug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Krašićevica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Dedin,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Razloge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Iševnica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Gusti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Laz).</w:t>
            </w:r>
          </w:p>
          <w:p w:rsidR="001B3102" w:rsidRPr="00D47846" w:rsidRDefault="001B3102" w:rsidP="00315E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3102" w:rsidRPr="00D47846" w:rsidRDefault="001B310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3102" w:rsidRPr="00D47846" w:rsidRDefault="00A6180E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3102" w:rsidRPr="00D47846" w:rsidRDefault="00A24183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85.471,25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3102" w:rsidRPr="00D47846" w:rsidRDefault="00A24183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314.528,75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3102" w:rsidRPr="00D47846" w:rsidRDefault="00A24183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Šumski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doprinos</w:t>
            </w:r>
            <w:proofErr w:type="spellEnd"/>
          </w:p>
        </w:tc>
      </w:tr>
      <w:tr w:rsidR="00D47846" w:rsidRPr="00D47846" w:rsidTr="00D47846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rekonstrukcija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cesta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OBORINSKA ODVODNJA</w:t>
            </w:r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4808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356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4808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Ćišćenje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slivnika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upojnih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bunara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974269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Obuhvaća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radove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čišćenju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slivnika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cijevi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oborinske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odvodnje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Delnicama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Lučicama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Crnom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Lugu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Brodu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Kupi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a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osnovom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čišćenju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slivnika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upojnih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bunara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koji</w:t>
            </w:r>
            <w:proofErr w:type="spellEnd"/>
            <w:proofErr w:type="gram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sklopljen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nakon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provedenog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postupka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nabave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sve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prema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pripadajućem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cjeniku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radova</w:t>
            </w:r>
            <w:proofErr w:type="spellEnd"/>
            <w:r w:rsidRPr="00D4784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C36302" w:rsidP="00F2088D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60.000,00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4808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2F4808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nepredviđeni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popravci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F2088D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Smanjen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iznos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nepredviđenih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popravaka</w:t>
            </w:r>
            <w:proofErr w:type="spellEnd"/>
            <w:r w:rsidR="0022110D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22110D"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="0022110D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22110D" w:rsidRPr="00D47846">
              <w:rPr>
                <w:rFonts w:eastAsia="Times New Roman"/>
                <w:sz w:val="20"/>
                <w:szCs w:val="20"/>
                <w:lang w:eastAsia="hr-HR"/>
              </w:rPr>
              <w:t>oborinskoj</w:t>
            </w:r>
            <w:proofErr w:type="spellEnd"/>
            <w:r w:rsidR="0022110D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22110D" w:rsidRPr="00D47846">
              <w:rPr>
                <w:rFonts w:eastAsia="Times New Roman"/>
                <w:sz w:val="20"/>
                <w:szCs w:val="20"/>
                <w:lang w:eastAsia="hr-HR"/>
              </w:rPr>
              <w:t>kanalizaciju</w:t>
            </w:r>
            <w:proofErr w:type="spellEnd"/>
            <w:r w:rsidR="0022110D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="0022110D" w:rsidRPr="00D47846">
              <w:rPr>
                <w:rFonts w:eastAsia="Times New Roman"/>
                <w:sz w:val="20"/>
                <w:szCs w:val="20"/>
                <w:lang w:eastAsia="hr-HR"/>
              </w:rPr>
              <w:t>i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znosu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od 40.000,00 kn.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5A7453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5A7453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oborinska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odvodnja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HORIZONTALNA I VERTIKALNA SIGNALIZACIJA</w:t>
            </w:r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Horizontalna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signalizacija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5E32" w:rsidRPr="00D47846" w:rsidRDefault="007E115B" w:rsidP="007E115B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Aktivnost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smanjena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 u</w:t>
            </w:r>
            <w:proofErr w:type="gram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iznosu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od 47.00,00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kn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jer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ove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godine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nije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bilo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nužuno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obilježavanje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horizontalne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signalizacije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planiranom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obimu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5A7453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5A7453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4808" w:rsidRPr="00D47846" w:rsidRDefault="002F4808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4808" w:rsidRPr="00D47846" w:rsidRDefault="002F4808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F4808" w:rsidRPr="00D47846" w:rsidRDefault="002F4808" w:rsidP="007E115B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4808" w:rsidRPr="00D47846" w:rsidRDefault="002F4808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4808" w:rsidRPr="00D47846" w:rsidRDefault="002F4808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4808" w:rsidRPr="00D47846" w:rsidRDefault="002F4808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4808" w:rsidRPr="00D47846" w:rsidRDefault="002F4808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4808" w:rsidRPr="00D47846" w:rsidRDefault="002F4808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Vertikalna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signalizacija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15E32" w:rsidRPr="00D47846" w:rsidRDefault="00315E32" w:rsidP="007E115B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Dobava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ugradnja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nove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te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popravak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postojeće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vertikalne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signalizacije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nerazvrstanim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cestama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javnim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površinama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Uz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planirane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izvršeni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su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popravci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semaforu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treptajuće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signalizacije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Lučicama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te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popravak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gram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I 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montaža</w:t>
            </w:r>
            <w:proofErr w:type="spellEnd"/>
            <w:proofErr w:type="gram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znakova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cijelom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području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Grada</w:t>
            </w:r>
            <w:proofErr w:type="spellEnd"/>
            <w:r w:rsidR="007E115B" w:rsidRPr="00D47846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7E115B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9</w:t>
            </w:r>
            <w:r w:rsidR="005A7453" w:rsidRPr="00D47846">
              <w:rPr>
                <w:rFonts w:eastAsia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7E115B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9</w:t>
            </w:r>
            <w:r w:rsidR="005A7453" w:rsidRPr="00D47846">
              <w:rPr>
                <w:rFonts w:eastAsia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horizontalna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vertikalna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signalizacija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rPr>
          <w:trHeight w:val="471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sz w:val="20"/>
                <w:szCs w:val="20"/>
                <w:lang w:eastAsia="hr-HR"/>
              </w:rPr>
              <w:t>UKUPNO ODRŽAVANJE NERAZVRSTANIH CESTA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315E32" w:rsidRPr="00A6180E" w:rsidRDefault="00315E32" w:rsidP="00315E3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843"/>
        <w:gridCol w:w="2986"/>
        <w:gridCol w:w="1412"/>
        <w:gridCol w:w="6"/>
        <w:gridCol w:w="1407"/>
        <w:gridCol w:w="1535"/>
        <w:gridCol w:w="1536"/>
        <w:gridCol w:w="1536"/>
      </w:tblGrid>
      <w:tr w:rsidR="00D47846" w:rsidRPr="00D47846" w:rsidTr="00D47846">
        <w:trPr>
          <w:trHeight w:val="638"/>
          <w:tblHeader/>
        </w:trPr>
        <w:tc>
          <w:tcPr>
            <w:tcW w:w="1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lastRenderedPageBreak/>
              <w:t>Pozicija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Proračunu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financiranja</w:t>
            </w:r>
            <w:proofErr w:type="spellEnd"/>
          </w:p>
        </w:tc>
      </w:tr>
      <w:tr w:rsidR="00D47846" w:rsidRPr="00D47846" w:rsidTr="00D47846">
        <w:trPr>
          <w:trHeight w:val="637"/>
          <w:tblHeader/>
        </w:trPr>
        <w:tc>
          <w:tcPr>
            <w:tcW w:w="1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Komunalna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izvori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ostalih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izvora</w:t>
            </w:r>
            <w:proofErr w:type="spellEnd"/>
          </w:p>
        </w:tc>
      </w:tr>
      <w:tr w:rsidR="00D47846" w:rsidRPr="00D47846" w:rsidTr="00D47846">
        <w:trPr>
          <w:trHeight w:val="472"/>
          <w:tblHeader/>
        </w:trPr>
        <w:tc>
          <w:tcPr>
            <w:tcW w:w="1377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846">
              <w:rPr>
                <w:rFonts w:eastAsia="Calibri"/>
                <w:b/>
                <w:sz w:val="20"/>
                <w:szCs w:val="20"/>
              </w:rPr>
              <w:t>III. ODRŽAVANJE JAVNE RASVJETE</w:t>
            </w: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javne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23C7D" w:rsidRPr="00D47846" w:rsidRDefault="00315E32" w:rsidP="00723C7D">
            <w:pPr>
              <w:jc w:val="both"/>
              <w:rPr>
                <w:rFonts w:eastAsia="Calibri"/>
                <w:sz w:val="20"/>
                <w:szCs w:val="20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23C7D" w:rsidRPr="00D47846">
              <w:rPr>
                <w:rFonts w:eastAsia="Times New Roman"/>
                <w:sz w:val="20"/>
                <w:szCs w:val="20"/>
                <w:lang w:eastAsia="hr-HR"/>
              </w:rPr>
              <w:t>Aktivnost</w:t>
            </w:r>
            <w:proofErr w:type="spellEnd"/>
            <w:r w:rsidR="00723C7D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723C7D" w:rsidRPr="00D47846">
              <w:rPr>
                <w:rFonts w:eastAsia="Times New Roman"/>
                <w:sz w:val="20"/>
                <w:szCs w:val="20"/>
                <w:lang w:eastAsia="hr-HR"/>
              </w:rPr>
              <w:t>povećana</w:t>
            </w:r>
            <w:proofErr w:type="spellEnd"/>
            <w:r w:rsidR="00723C7D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r w:rsidR="00723C7D" w:rsidRPr="00D47846">
              <w:rPr>
                <w:rFonts w:eastAsia="Calibri"/>
                <w:sz w:val="20"/>
                <w:szCs w:val="20"/>
              </w:rPr>
              <w:t xml:space="preserve">u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iznosu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od 7.000,00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kn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-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prema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dosadašnjim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iskustvima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uvažavajući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sva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učinjena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proširenja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javne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rasvjete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navedena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sredstva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23C7D" w:rsidRPr="00D47846">
              <w:rPr>
                <w:rFonts w:eastAsia="Calibri"/>
                <w:sz w:val="20"/>
                <w:szCs w:val="20"/>
              </w:rPr>
              <w:t>potrebna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za</w:t>
            </w:r>
            <w:proofErr w:type="spellEnd"/>
            <w:proofErr w:type="gram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izmjenu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žarulja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oštećenih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lampi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popravak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stupova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ili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izmjenu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dotrajalih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te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interpolaciju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novih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rasvjetnih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tijela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unutar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postojeće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3C7D" w:rsidRPr="00D47846">
              <w:rPr>
                <w:rFonts w:eastAsia="Calibri"/>
                <w:sz w:val="20"/>
                <w:szCs w:val="20"/>
              </w:rPr>
              <w:t>mreže</w:t>
            </w:r>
            <w:proofErr w:type="spellEnd"/>
            <w:r w:rsidR="00723C7D" w:rsidRPr="00D47846">
              <w:rPr>
                <w:rFonts w:eastAsia="Calibri"/>
                <w:sz w:val="20"/>
                <w:szCs w:val="20"/>
              </w:rPr>
              <w:t>.</w:t>
            </w:r>
          </w:p>
          <w:p w:rsidR="00315E32" w:rsidRPr="00D47846" w:rsidRDefault="00315E32" w:rsidP="00723C7D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F93FEF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243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5A7453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5A7453" w:rsidRPr="00D47846">
              <w:rPr>
                <w:rFonts w:eastAsia="Times New Roman"/>
                <w:sz w:val="20"/>
                <w:szCs w:val="20"/>
                <w:lang w:eastAsia="hr-HR"/>
              </w:rPr>
              <w:t>50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5A7453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Javna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rasvjeta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utrošak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električne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energije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23C7D" w:rsidRPr="00D47846" w:rsidRDefault="00723C7D" w:rsidP="00723C7D">
            <w:pPr>
              <w:jc w:val="both"/>
              <w:rPr>
                <w:rFonts w:eastAsia="Calibri"/>
              </w:rPr>
            </w:pPr>
            <w:proofErr w:type="spellStart"/>
            <w:r w:rsidRPr="00D47846">
              <w:rPr>
                <w:rFonts w:eastAsia="Calibri"/>
                <w:sz w:val="20"/>
                <w:szCs w:val="20"/>
              </w:rPr>
              <w:t>Javna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rasvjeta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utrošak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električne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energije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smanjenje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iznosu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od 50.000,00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ugradnjom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štednih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7846">
              <w:rPr>
                <w:rFonts w:eastAsia="Calibri"/>
                <w:sz w:val="20"/>
                <w:szCs w:val="20"/>
              </w:rPr>
              <w:t>svjetiljki</w:t>
            </w:r>
            <w:proofErr w:type="spellEnd"/>
            <w:r w:rsidRPr="00D47846">
              <w:rPr>
                <w:rFonts w:eastAsia="Calibri"/>
              </w:rPr>
              <w:t xml:space="preserve"> .</w:t>
            </w:r>
            <w:proofErr w:type="gramEnd"/>
          </w:p>
          <w:p w:rsidR="00315E32" w:rsidRPr="00D47846" w:rsidRDefault="00315E32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5A7453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250.000,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23BAB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23BAB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nepredviđeni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radovi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15E32" w:rsidRPr="00D47846" w:rsidRDefault="00315E32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Podrazumijeva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hitne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intervencije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koje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su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uzrokovane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nepredviđenim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oštećenjima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javnoj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rasvjeti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ili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nepredviđenim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potrebama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za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interpolaciju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sl.</w:t>
            </w:r>
            <w:r w:rsidR="002113B8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2113B8" w:rsidRPr="00D47846">
              <w:rPr>
                <w:rFonts w:eastAsia="Times New Roman"/>
                <w:sz w:val="20"/>
                <w:szCs w:val="20"/>
                <w:lang w:eastAsia="hr-HR"/>
              </w:rPr>
              <w:t>Planirano</w:t>
            </w:r>
            <w:proofErr w:type="spellEnd"/>
            <w:r w:rsidR="002113B8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2113B8" w:rsidRPr="00D47846">
              <w:rPr>
                <w:rFonts w:eastAsia="Times New Roman"/>
                <w:sz w:val="20"/>
                <w:szCs w:val="20"/>
                <w:lang w:eastAsia="hr-HR"/>
              </w:rPr>
              <w:t>smanjenje</w:t>
            </w:r>
            <w:proofErr w:type="spellEnd"/>
            <w:r w:rsidR="002113B8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="002113B8" w:rsidRPr="00D47846">
              <w:rPr>
                <w:rFonts w:eastAsia="Times New Roman"/>
                <w:sz w:val="20"/>
                <w:szCs w:val="20"/>
                <w:lang w:eastAsia="hr-HR"/>
              </w:rPr>
              <w:t>iznosu</w:t>
            </w:r>
            <w:proofErr w:type="spellEnd"/>
            <w:r w:rsidR="002113B8"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od  20.000,,00 kn.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23BAB" w:rsidP="005A7453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E23BAB" w:rsidP="005A7453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10.</w:t>
            </w:r>
            <w:r w:rsidR="005A7453" w:rsidRPr="00D47846">
              <w:rPr>
                <w:rFonts w:eastAsia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:rsidTr="00D47846">
        <w:trPr>
          <w:trHeight w:val="471"/>
        </w:trPr>
        <w:tc>
          <w:tcPr>
            <w:tcW w:w="634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sz w:val="20"/>
                <w:szCs w:val="20"/>
                <w:lang w:eastAsia="hr-HR"/>
              </w:rPr>
              <w:t>UKUPNO ODRŽAVANJE JAVNE RASVJETE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315E32" w:rsidRPr="00A6180E" w:rsidRDefault="00315E32" w:rsidP="00315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315E32" w:rsidRPr="00A6180E" w:rsidRDefault="00315E32" w:rsidP="00315E3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br w:type="page"/>
      </w: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3429"/>
        <w:gridCol w:w="3429"/>
        <w:gridCol w:w="3429"/>
        <w:gridCol w:w="3429"/>
      </w:tblGrid>
      <w:tr w:rsidR="00D47846" w:rsidRPr="00D47846" w:rsidTr="00D47846">
        <w:trPr>
          <w:trHeight w:val="638"/>
          <w:tblHeader/>
        </w:trPr>
        <w:tc>
          <w:tcPr>
            <w:tcW w:w="1371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bookmarkStart w:id="0" w:name="_GoBack"/>
            <w:r w:rsidRPr="00D47846">
              <w:rPr>
                <w:rFonts w:eastAsia="Times New Roman"/>
                <w:b/>
                <w:bCs/>
                <w:lang w:eastAsia="hr-HR"/>
              </w:rPr>
              <w:lastRenderedPageBreak/>
              <w:t>SVEUKUPNO ODRŽAVANJE KOMUNALNE INFRASTRUKTURE</w:t>
            </w:r>
          </w:p>
        </w:tc>
      </w:tr>
      <w:tr w:rsidR="00D47846" w:rsidRPr="00D47846" w:rsidTr="00D47846">
        <w:trPr>
          <w:trHeight w:val="323"/>
          <w:tblHeader/>
        </w:trPr>
        <w:tc>
          <w:tcPr>
            <w:tcW w:w="34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D47846">
              <w:rPr>
                <w:rFonts w:eastAsia="Calibri"/>
                <w:b/>
              </w:rPr>
              <w:t>Plan</w:t>
            </w:r>
            <w:r w:rsidR="002113B8" w:rsidRPr="00D47846">
              <w:rPr>
                <w:rFonts w:eastAsia="Calibri"/>
                <w:b/>
              </w:rPr>
              <w:t xml:space="preserve"> </w:t>
            </w:r>
            <w:proofErr w:type="gramStart"/>
            <w:r w:rsidR="002113B8" w:rsidRPr="00D47846">
              <w:rPr>
                <w:rFonts w:eastAsia="Calibri"/>
                <w:b/>
              </w:rPr>
              <w:t>I</w:t>
            </w:r>
            <w:proofErr w:type="gramEnd"/>
            <w:r w:rsidR="002113B8" w:rsidRPr="00D47846">
              <w:rPr>
                <w:rFonts w:eastAsia="Calibri"/>
                <w:b/>
              </w:rPr>
              <w:t>.</w:t>
            </w:r>
          </w:p>
          <w:p w:rsidR="009B2CD2" w:rsidRPr="00D47846" w:rsidRDefault="009B2CD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  <w:p w:rsidR="009B2CD2" w:rsidRPr="00D47846" w:rsidRDefault="009B2CD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D47846">
              <w:rPr>
                <w:rFonts w:eastAsia="Calibri"/>
                <w:b/>
              </w:rPr>
              <w:t>6.324.240,00</w:t>
            </w:r>
          </w:p>
        </w:tc>
        <w:tc>
          <w:tcPr>
            <w:tcW w:w="34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6550ED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D47846">
              <w:rPr>
                <w:rFonts w:eastAsia="Calibri"/>
                <w:b/>
              </w:rPr>
              <w:t>Plan II.</w:t>
            </w:r>
          </w:p>
          <w:p w:rsidR="009B2CD2" w:rsidRPr="00D47846" w:rsidRDefault="009B2CD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  <w:p w:rsidR="009B2CD2" w:rsidRPr="00D47846" w:rsidRDefault="009B2CD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D47846">
              <w:rPr>
                <w:rFonts w:eastAsia="Calibri"/>
                <w:b/>
              </w:rPr>
              <w:t>7.782.000,00</w:t>
            </w:r>
          </w:p>
        </w:tc>
        <w:tc>
          <w:tcPr>
            <w:tcW w:w="6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D47846">
              <w:rPr>
                <w:rFonts w:eastAsia="Calibri"/>
                <w:b/>
              </w:rPr>
              <w:t>Izvor</w:t>
            </w:r>
            <w:proofErr w:type="spellEnd"/>
            <w:r w:rsidRPr="00D47846">
              <w:rPr>
                <w:rFonts w:eastAsia="Calibri"/>
                <w:b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</w:rPr>
              <w:t>financiranja</w:t>
            </w:r>
            <w:proofErr w:type="spellEnd"/>
          </w:p>
        </w:tc>
      </w:tr>
      <w:tr w:rsidR="00D47846" w:rsidRPr="00D47846" w:rsidTr="00D47846">
        <w:trPr>
          <w:trHeight w:val="322"/>
          <w:tblHeader/>
        </w:trPr>
        <w:tc>
          <w:tcPr>
            <w:tcW w:w="3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D47846">
              <w:rPr>
                <w:rFonts w:eastAsia="Calibri"/>
                <w:b/>
              </w:rPr>
              <w:t>Komunalna</w:t>
            </w:r>
            <w:proofErr w:type="spellEnd"/>
            <w:r w:rsidRPr="00D47846">
              <w:rPr>
                <w:rFonts w:eastAsia="Calibri"/>
                <w:b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</w:rPr>
              <w:t>naknada</w:t>
            </w:r>
            <w:proofErr w:type="spellEnd"/>
          </w:p>
          <w:p w:rsidR="009B2CD2" w:rsidRPr="00D47846" w:rsidRDefault="009B2CD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D47846">
              <w:rPr>
                <w:rFonts w:eastAsia="Calibri"/>
                <w:b/>
              </w:rPr>
              <w:t>6.637.471,25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0ED" w:rsidRPr="00D47846" w:rsidRDefault="006550ED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  <w:p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D47846">
              <w:rPr>
                <w:rFonts w:eastAsia="Calibri"/>
                <w:b/>
              </w:rPr>
              <w:t>Ostali</w:t>
            </w:r>
            <w:proofErr w:type="spellEnd"/>
            <w:r w:rsidRPr="00D47846">
              <w:rPr>
                <w:rFonts w:eastAsia="Calibri"/>
                <w:b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</w:rPr>
              <w:t>izvori</w:t>
            </w:r>
            <w:proofErr w:type="spellEnd"/>
          </w:p>
          <w:p w:rsidR="009B2CD2" w:rsidRPr="00D47846" w:rsidRDefault="009B2CD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D47846">
              <w:rPr>
                <w:rFonts w:eastAsia="Calibri"/>
                <w:b/>
              </w:rPr>
              <w:t>1.144.528,75</w:t>
            </w:r>
          </w:p>
          <w:p w:rsidR="002113B8" w:rsidRPr="00D47846" w:rsidRDefault="002113B8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bookmarkEnd w:id="0"/>
    </w:tbl>
    <w:p w:rsidR="00315E32" w:rsidRPr="00A6180E" w:rsidRDefault="00315E32" w:rsidP="00315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315E32" w:rsidRPr="00A6180E" w:rsidRDefault="00315E32" w:rsidP="00315E3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 xml:space="preserve">Članak </w:t>
      </w:r>
      <w:r w:rsidR="006550ED">
        <w:rPr>
          <w:rFonts w:ascii="Times New Roman" w:eastAsia="Calibri" w:hAnsi="Times New Roman" w:cs="Times New Roman"/>
          <w:sz w:val="24"/>
        </w:rPr>
        <w:t>3</w:t>
      </w:r>
      <w:r w:rsidRPr="00A6180E">
        <w:rPr>
          <w:rFonts w:ascii="Times New Roman" w:eastAsia="Calibri" w:hAnsi="Times New Roman" w:cs="Times New Roman"/>
          <w:sz w:val="24"/>
        </w:rPr>
        <w:t>.</w:t>
      </w:r>
    </w:p>
    <w:p w:rsidR="00315E32" w:rsidRPr="00A6180E" w:rsidRDefault="00315E32" w:rsidP="00315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6180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Ovaj Program stupa na snagu osmog dana od objave u "Službenim novinama Grada Delnica".</w:t>
      </w:r>
    </w:p>
    <w:p w:rsidR="00315E32" w:rsidRPr="00A6180E" w:rsidRDefault="00315E32" w:rsidP="00315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15E32" w:rsidRPr="00A6180E" w:rsidRDefault="00315E32" w:rsidP="00315E32">
      <w:pPr>
        <w:spacing w:after="0" w:line="240" w:lineRule="auto"/>
        <w:ind w:right="93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180E">
        <w:rPr>
          <w:rFonts w:ascii="Times New Roman" w:eastAsia="Calibri" w:hAnsi="Times New Roman" w:cs="Times New Roman"/>
          <w:sz w:val="24"/>
          <w:szCs w:val="24"/>
        </w:rPr>
        <w:t>KLASA: 363-01/21-01/21</w:t>
      </w:r>
    </w:p>
    <w:p w:rsidR="00315E32" w:rsidRPr="00A6180E" w:rsidRDefault="00315E32" w:rsidP="00315E32">
      <w:pPr>
        <w:spacing w:after="0" w:line="240" w:lineRule="auto"/>
        <w:ind w:right="93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180E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Pr="00A6180E">
        <w:rPr>
          <w:rFonts w:ascii="Times New Roman" w:eastAsia="Times New Roman" w:hAnsi="Times New Roman" w:cs="Times New Roman"/>
          <w:sz w:val="24"/>
          <w:lang w:eastAsia="hr-HR"/>
        </w:rPr>
        <w:t>2170-6-40-4-22-</w:t>
      </w:r>
      <w:r w:rsidR="00E23BAB" w:rsidRPr="00A6180E">
        <w:rPr>
          <w:rFonts w:ascii="Times New Roman" w:eastAsia="Times New Roman" w:hAnsi="Times New Roman" w:cs="Times New Roman"/>
          <w:sz w:val="24"/>
          <w:lang w:eastAsia="hr-HR"/>
        </w:rPr>
        <w:t>6</w:t>
      </w:r>
    </w:p>
    <w:p w:rsidR="00315E32" w:rsidRPr="00A6180E" w:rsidRDefault="00315E32" w:rsidP="00315E32">
      <w:pPr>
        <w:spacing w:after="0" w:line="240" w:lineRule="auto"/>
        <w:ind w:right="93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180E">
        <w:rPr>
          <w:rFonts w:ascii="Times New Roman" w:eastAsia="Calibri" w:hAnsi="Times New Roman" w:cs="Times New Roman"/>
          <w:sz w:val="24"/>
          <w:szCs w:val="24"/>
        </w:rPr>
        <w:t xml:space="preserve">Delnice, </w:t>
      </w:r>
      <w:r w:rsidR="00E23BAB" w:rsidRPr="00A6180E">
        <w:rPr>
          <w:rFonts w:ascii="Times New Roman" w:eastAsia="Calibri" w:hAnsi="Times New Roman" w:cs="Times New Roman"/>
          <w:sz w:val="24"/>
          <w:szCs w:val="24"/>
        </w:rPr>
        <w:t>21. prosinca</w:t>
      </w:r>
      <w:r w:rsidRPr="00A6180E">
        <w:rPr>
          <w:rFonts w:ascii="Times New Roman" w:eastAsia="Calibri" w:hAnsi="Times New Roman" w:cs="Times New Roman"/>
          <w:sz w:val="24"/>
          <w:szCs w:val="24"/>
        </w:rPr>
        <w:t xml:space="preserve"> 2022. godine</w:t>
      </w:r>
    </w:p>
    <w:p w:rsidR="00315E32" w:rsidRPr="00A6180E" w:rsidRDefault="00315E32" w:rsidP="00315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15E32" w:rsidRPr="00A6180E" w:rsidRDefault="00315E32" w:rsidP="00602E6E">
      <w:pPr>
        <w:spacing w:after="0" w:line="276" w:lineRule="auto"/>
        <w:ind w:left="7088"/>
        <w:jc w:val="center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>Gradsko vijeće Grada Delnica</w:t>
      </w:r>
    </w:p>
    <w:p w:rsidR="00315E32" w:rsidRPr="00A6180E" w:rsidRDefault="00315E32" w:rsidP="00602E6E">
      <w:pPr>
        <w:spacing w:after="0" w:line="276" w:lineRule="auto"/>
        <w:ind w:left="7088"/>
        <w:jc w:val="center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>Predsjednica</w:t>
      </w:r>
    </w:p>
    <w:p w:rsidR="00114E3B" w:rsidRPr="00544D36" w:rsidRDefault="00315E32" w:rsidP="00602E6E">
      <w:pPr>
        <w:spacing w:after="0" w:line="276" w:lineRule="auto"/>
        <w:ind w:left="7088"/>
        <w:jc w:val="center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 xml:space="preserve">Ivana  </w:t>
      </w:r>
      <w:proofErr w:type="spellStart"/>
      <w:r w:rsidRPr="00A6180E">
        <w:rPr>
          <w:rFonts w:ascii="Times New Roman" w:eastAsia="Calibri" w:hAnsi="Times New Roman" w:cs="Times New Roman"/>
          <w:sz w:val="24"/>
        </w:rPr>
        <w:t>Pečnik</w:t>
      </w:r>
      <w:proofErr w:type="spellEnd"/>
      <w:r w:rsidRPr="00A618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6180E">
        <w:rPr>
          <w:rFonts w:ascii="Times New Roman" w:eastAsia="Calibri" w:hAnsi="Times New Roman" w:cs="Times New Roman"/>
          <w:sz w:val="24"/>
        </w:rPr>
        <w:t>Kastner</w:t>
      </w:r>
      <w:proofErr w:type="spellEnd"/>
      <w:r w:rsidRPr="00A6180E">
        <w:rPr>
          <w:rFonts w:ascii="Times New Roman" w:eastAsia="Calibri" w:hAnsi="Times New Roman" w:cs="Times New Roman"/>
          <w:sz w:val="24"/>
        </w:rPr>
        <w:t>, v.r.</w:t>
      </w:r>
    </w:p>
    <w:sectPr w:rsidR="00114E3B" w:rsidRPr="00544D36" w:rsidSect="002E0790">
      <w:footerReference w:type="default" r:id="rId7"/>
      <w:pgSz w:w="15840" w:h="12240" w:orient="landscape"/>
      <w:pgMar w:top="851" w:right="851" w:bottom="851" w:left="851" w:header="720" w:footer="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5C" w:rsidRDefault="0011175C">
      <w:pPr>
        <w:spacing w:after="0" w:line="240" w:lineRule="auto"/>
      </w:pPr>
      <w:r>
        <w:separator/>
      </w:r>
    </w:p>
  </w:endnote>
  <w:endnote w:type="continuationSeparator" w:id="0">
    <w:p w:rsidR="0011175C" w:rsidRDefault="0011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397579"/>
      <w:docPartObj>
        <w:docPartGallery w:val="Page Numbers (Bottom of Page)"/>
        <w:docPartUnique/>
      </w:docPartObj>
    </w:sdtPr>
    <w:sdtEndPr/>
    <w:sdtContent>
      <w:p w:rsidR="002E0790" w:rsidRPr="002E0790" w:rsidRDefault="00005B7B">
        <w:pPr>
          <w:pStyle w:val="Podnoje"/>
          <w:jc w:val="center"/>
          <w:rPr>
            <w:sz w:val="18"/>
            <w:szCs w:val="18"/>
          </w:rPr>
        </w:pPr>
        <w:r w:rsidRPr="002E0790">
          <w:rPr>
            <w:sz w:val="18"/>
            <w:szCs w:val="18"/>
          </w:rPr>
          <w:fldChar w:fldCharType="begin"/>
        </w:r>
        <w:r w:rsidRPr="002E0790">
          <w:rPr>
            <w:sz w:val="18"/>
            <w:szCs w:val="18"/>
          </w:rPr>
          <w:instrText xml:space="preserve"> PAGE   \* MERGEFORMAT </w:instrText>
        </w:r>
        <w:r w:rsidRPr="002E0790">
          <w:rPr>
            <w:sz w:val="18"/>
            <w:szCs w:val="18"/>
          </w:rPr>
          <w:fldChar w:fldCharType="separate"/>
        </w:r>
        <w:r w:rsidR="00D47846">
          <w:rPr>
            <w:noProof/>
            <w:sz w:val="18"/>
            <w:szCs w:val="18"/>
          </w:rPr>
          <w:t>8</w:t>
        </w:r>
        <w:r w:rsidRPr="002E0790">
          <w:rPr>
            <w:sz w:val="18"/>
            <w:szCs w:val="18"/>
          </w:rPr>
          <w:fldChar w:fldCharType="end"/>
        </w:r>
      </w:p>
    </w:sdtContent>
  </w:sdt>
  <w:p w:rsidR="002E0790" w:rsidRDefault="001117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5C" w:rsidRDefault="0011175C">
      <w:pPr>
        <w:spacing w:after="0" w:line="240" w:lineRule="auto"/>
      </w:pPr>
      <w:r>
        <w:separator/>
      </w:r>
    </w:p>
  </w:footnote>
  <w:footnote w:type="continuationSeparator" w:id="0">
    <w:p w:rsidR="0011175C" w:rsidRDefault="0011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3E1"/>
    <w:multiLevelType w:val="hybridMultilevel"/>
    <w:tmpl w:val="D5189DB6"/>
    <w:lvl w:ilvl="0" w:tplc="1D72E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D1AA7"/>
    <w:multiLevelType w:val="hybridMultilevel"/>
    <w:tmpl w:val="EB5A9260"/>
    <w:lvl w:ilvl="0" w:tplc="027A3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32"/>
    <w:rsid w:val="00003808"/>
    <w:rsid w:val="00005B7B"/>
    <w:rsid w:val="00060366"/>
    <w:rsid w:val="00093235"/>
    <w:rsid w:val="0011175C"/>
    <w:rsid w:val="00114E3B"/>
    <w:rsid w:val="001B3102"/>
    <w:rsid w:val="002113B8"/>
    <w:rsid w:val="0022110D"/>
    <w:rsid w:val="002345E4"/>
    <w:rsid w:val="00250FD0"/>
    <w:rsid w:val="002A11BE"/>
    <w:rsid w:val="002F4808"/>
    <w:rsid w:val="002F5BC4"/>
    <w:rsid w:val="00315E32"/>
    <w:rsid w:val="00345B0B"/>
    <w:rsid w:val="00385190"/>
    <w:rsid w:val="003C37D6"/>
    <w:rsid w:val="00425493"/>
    <w:rsid w:val="00450A7C"/>
    <w:rsid w:val="004F0665"/>
    <w:rsid w:val="00544D36"/>
    <w:rsid w:val="00556EC9"/>
    <w:rsid w:val="005A7453"/>
    <w:rsid w:val="005E3F52"/>
    <w:rsid w:val="00602E6E"/>
    <w:rsid w:val="006550ED"/>
    <w:rsid w:val="00723C7D"/>
    <w:rsid w:val="00752EF1"/>
    <w:rsid w:val="007E115B"/>
    <w:rsid w:val="00872A57"/>
    <w:rsid w:val="008E6FE2"/>
    <w:rsid w:val="00900517"/>
    <w:rsid w:val="00935AD6"/>
    <w:rsid w:val="00941EBE"/>
    <w:rsid w:val="00974269"/>
    <w:rsid w:val="009844CB"/>
    <w:rsid w:val="00997F3A"/>
    <w:rsid w:val="009B2CD2"/>
    <w:rsid w:val="00A21A92"/>
    <w:rsid w:val="00A24183"/>
    <w:rsid w:val="00A6180E"/>
    <w:rsid w:val="00A93E7C"/>
    <w:rsid w:val="00AC19FC"/>
    <w:rsid w:val="00C36302"/>
    <w:rsid w:val="00C368F1"/>
    <w:rsid w:val="00CD22BE"/>
    <w:rsid w:val="00CD6D7B"/>
    <w:rsid w:val="00D47846"/>
    <w:rsid w:val="00DE1248"/>
    <w:rsid w:val="00E03CE4"/>
    <w:rsid w:val="00E23BAB"/>
    <w:rsid w:val="00E64928"/>
    <w:rsid w:val="00EA158A"/>
    <w:rsid w:val="00F2088D"/>
    <w:rsid w:val="00F303F7"/>
    <w:rsid w:val="00F93FEF"/>
    <w:rsid w:val="00F97C2E"/>
    <w:rsid w:val="00FC4E72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BD9B4-AEA3-4840-8072-A35081C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1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E32"/>
  </w:style>
  <w:style w:type="table" w:customStyle="1" w:styleId="Reetkatablice1">
    <w:name w:val="Rešetka tablice1"/>
    <w:basedOn w:val="Obinatablica"/>
    <w:next w:val="Reetkatablice"/>
    <w:uiPriority w:val="59"/>
    <w:rsid w:val="00315E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1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44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20</cp:revision>
  <cp:lastPrinted>2022-12-14T10:20:00Z</cp:lastPrinted>
  <dcterms:created xsi:type="dcterms:W3CDTF">2022-12-08T08:26:00Z</dcterms:created>
  <dcterms:modified xsi:type="dcterms:W3CDTF">2022-12-19T09:25:00Z</dcterms:modified>
</cp:coreProperties>
</file>