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22" w:rsidRPr="004443CD" w:rsidRDefault="00160D22" w:rsidP="00160D22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7"/>
      <w:r w:rsidRPr="004443CD">
        <w:rPr>
          <w:rFonts w:ascii="Arial Narrow" w:eastAsia="Calibri" w:hAnsi="Arial Narrow" w:cs="Times New Roman"/>
          <w:b/>
          <w:bCs/>
          <w:sz w:val="24"/>
          <w:szCs w:val="24"/>
        </w:rPr>
        <w:t>Obrazac Izvješća o savjetovanju s javnošću</w:t>
      </w:r>
      <w:bookmarkEnd w:id="0"/>
    </w:p>
    <w:p w:rsidR="00160D22" w:rsidRPr="004443CD" w:rsidRDefault="00160D22" w:rsidP="00160D22">
      <w:pPr>
        <w:spacing w:after="200" w:line="276" w:lineRule="auto"/>
        <w:rPr>
          <w:rFonts w:ascii="Calibri" w:eastAsia="SimSu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160D22" w:rsidRPr="004443CD" w:rsidTr="001533E9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60D22" w:rsidRPr="004443CD" w:rsidRDefault="00160D22" w:rsidP="001533E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IZVJEŠĆE O SAVJETOVANJU S JAVNOŠĆU</w:t>
            </w:r>
          </w:p>
          <w:p w:rsidR="00160D22" w:rsidRPr="004443CD" w:rsidRDefault="00160D22" w:rsidP="001533E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sudjelovanja u postupku savjetovanju s javnošću o  prijedlogu Odluke o načinu pružanja javne usluge sakupljanja komunalnog otpada na području Grada Delnica </w:t>
            </w: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F2644B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Odluka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načinu pružanja javne usluge sakupljanja komunalnog otpada na području Grada Delnica </w:t>
            </w: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SUSTAV, IMOVINU, PROMET I ZAŠTITU OKOLIŠA</w:t>
            </w: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60D22" w:rsidRPr="004443CD" w:rsidRDefault="00160D22" w:rsidP="001533E9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Pružanje javne usluge sakupljanja komunalnog otpada</w:t>
            </w:r>
          </w:p>
        </w:tc>
      </w:tr>
      <w:tr w:rsidR="00160D22" w:rsidRPr="004443CD" w:rsidTr="001533E9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www.delnice.hr</w:t>
            </w: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l</w:t>
            </w: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60D22" w:rsidRPr="004443CD" w:rsidTr="001533E9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15. STUDENOG do 14. PROSINCA 2022.</w:t>
            </w: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Dva mišljenja</w:t>
            </w: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Priložiti tablicu prihvaćenih i neprihvaćenih primjedbi –prilog 1.</w:t>
            </w: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60D22" w:rsidRPr="004443CD" w:rsidTr="001533E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60D22" w:rsidRPr="004443CD" w:rsidRDefault="00160D22" w:rsidP="001533E9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60D22" w:rsidRPr="004443CD" w:rsidRDefault="00160D22" w:rsidP="001533E9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</w:tbl>
    <w:p w:rsidR="00160D22" w:rsidRPr="004443CD" w:rsidRDefault="00160D22" w:rsidP="00160D22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1" w:name="_Toc468978618"/>
    </w:p>
    <w:p w:rsidR="00160D22" w:rsidRPr="004443CD" w:rsidRDefault="00160D22" w:rsidP="00160D22">
      <w:pPr>
        <w:spacing w:after="200" w:line="276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443CD">
        <w:rPr>
          <w:rFonts w:ascii="Arial Narrow" w:eastAsia="Calibri" w:hAnsi="Arial Narrow" w:cs="Times New Roman"/>
          <w:b/>
          <w:bCs/>
          <w:sz w:val="20"/>
          <w:szCs w:val="20"/>
        </w:rPr>
        <w:t>Prilog 1. Pregled prihvaćenih i neprihvaćenih primjedbi</w:t>
      </w:r>
      <w:bookmarkEnd w:id="1"/>
    </w:p>
    <w:tbl>
      <w:tblPr>
        <w:tblW w:w="13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570"/>
        <w:gridCol w:w="4394"/>
        <w:gridCol w:w="5184"/>
      </w:tblGrid>
      <w:tr w:rsidR="00160D22" w:rsidRPr="004443CD" w:rsidTr="001533E9">
        <w:tc>
          <w:tcPr>
            <w:tcW w:w="773" w:type="dxa"/>
            <w:vAlign w:val="center"/>
          </w:tcPr>
          <w:p w:rsidR="00160D22" w:rsidRPr="004443CD" w:rsidRDefault="00160D22" w:rsidP="001533E9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lastRenderedPageBreak/>
              <w:t>Redni broj</w:t>
            </w:r>
          </w:p>
        </w:tc>
        <w:tc>
          <w:tcPr>
            <w:tcW w:w="1887" w:type="dxa"/>
            <w:vAlign w:val="center"/>
          </w:tcPr>
          <w:p w:rsidR="00160D22" w:rsidRPr="004443CD" w:rsidRDefault="00160D22" w:rsidP="001533E9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570" w:type="dxa"/>
            <w:vAlign w:val="center"/>
          </w:tcPr>
          <w:p w:rsidR="00160D22" w:rsidRPr="004443CD" w:rsidRDefault="00160D22" w:rsidP="001533E9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4394" w:type="dxa"/>
            <w:vAlign w:val="center"/>
          </w:tcPr>
          <w:p w:rsidR="00160D22" w:rsidRPr="004443CD" w:rsidRDefault="00160D22" w:rsidP="001533E9">
            <w:pPr>
              <w:spacing w:after="120" w:line="240" w:lineRule="auto"/>
              <w:ind w:left="-97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5184" w:type="dxa"/>
            <w:vAlign w:val="center"/>
          </w:tcPr>
          <w:p w:rsidR="00160D22" w:rsidRDefault="00160D22" w:rsidP="001533E9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  <w:p w:rsidR="00160D22" w:rsidRPr="00602E7D" w:rsidRDefault="00160D22" w:rsidP="001533E9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602E7D">
              <w:rPr>
                <w:rFonts w:ascii="Arial Narrow" w:hAnsi="Arial Narrow"/>
                <w:sz w:val="20"/>
                <w:szCs w:val="20"/>
              </w:rPr>
              <w:t>Očitovanje o primjedbi / prijedlogu - prihvaća se - djelomično se prihvaća - ne prihvaća se - primljeno na znanje - nema primjedbi / prijedloga</w:t>
            </w:r>
          </w:p>
        </w:tc>
      </w:tr>
      <w:tr w:rsidR="00160D22" w:rsidRPr="004443CD" w:rsidTr="001533E9">
        <w:trPr>
          <w:trHeight w:val="567"/>
        </w:trPr>
        <w:tc>
          <w:tcPr>
            <w:tcW w:w="773" w:type="dxa"/>
          </w:tcPr>
          <w:p w:rsidR="00160D22" w:rsidRPr="004443CD" w:rsidRDefault="00160D22" w:rsidP="001533E9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87" w:type="dxa"/>
          </w:tcPr>
          <w:p w:rsidR="00160D22" w:rsidRPr="004443CD" w:rsidRDefault="00160D22" w:rsidP="001533E9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Gordana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Piskač</w:t>
            </w:r>
            <w:proofErr w:type="spellEnd"/>
          </w:p>
        </w:tc>
        <w:tc>
          <w:tcPr>
            <w:tcW w:w="1570" w:type="dxa"/>
          </w:tcPr>
          <w:p w:rsidR="00160D22" w:rsidRPr="004443CD" w:rsidRDefault="00615004" w:rsidP="005D12F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Članak 76.</w:t>
            </w:r>
            <w:r w:rsidR="005D12F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ZGO</w:t>
            </w:r>
          </w:p>
        </w:tc>
        <w:tc>
          <w:tcPr>
            <w:tcW w:w="4394" w:type="dxa"/>
          </w:tcPr>
          <w:p w:rsidR="00053500" w:rsidRPr="0074016C" w:rsidRDefault="00053500" w:rsidP="0074016C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4016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Uvidom u prethodnu Odluku i ovu novo predloženu Odluku uočavam da se u osnovi te odluke ne razlikuju osim u dijelu povećanja cijene za više </w:t>
            </w:r>
            <w:r w:rsidRPr="0074016C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od 77%.</w:t>
            </w:r>
            <w:r w:rsidRPr="0074016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Obzirom na tu činjenicu i zakonsku obvezu obrazloženja povećanja cijene smatram da nikakvo obrazloženje tog povećanja cijene nema niti u predloženoj Odluci niti u Dodatku I u prilogu. </w:t>
            </w:r>
          </w:p>
          <w:p w:rsidR="00053500" w:rsidRPr="0074016C" w:rsidRDefault="00053500" w:rsidP="0074016C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4016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Molim da </w:t>
            </w:r>
            <w:proofErr w:type="spellStart"/>
            <w:r w:rsidRPr="0074016C">
              <w:rPr>
                <w:rFonts w:ascii="Arial Narrow" w:hAnsi="Arial Narrow"/>
                <w:sz w:val="20"/>
                <w:szCs w:val="20"/>
                <w:lang w:eastAsia="zh-CN"/>
              </w:rPr>
              <w:t>izvjestite</w:t>
            </w:r>
            <w:proofErr w:type="spellEnd"/>
            <w:r w:rsidRPr="0074016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javnost o kakvim je to povećanim troškovima u iznosu 77% riječ.</w:t>
            </w:r>
          </w:p>
          <w:p w:rsidR="00160D22" w:rsidRPr="004443CD" w:rsidRDefault="00053500" w:rsidP="0074016C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053500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Nadalje na stranicama Komunalca d.o.o. objavljena je Odluka o povećanju cijene predmetne usluge za cijelo područje djelovanja Komunalca d.o.o. (osim za Grad Delnice) s početkom primjene 1.12.2022. i to u iznosu od 42,00 kn bez PDV-a za kućanstva, dok je u Odluci Grada Delnica naveden iznos cijene 45,00 kn bez PDV-a – zašto? Zar zato što su sve ostale JLS udaljenije od pretovarne stanice Delnice pa zbog većih troškova prijevoza trebaju plaćati  manje.</w:t>
            </w:r>
          </w:p>
        </w:tc>
        <w:tc>
          <w:tcPr>
            <w:tcW w:w="5184" w:type="dxa"/>
          </w:tcPr>
          <w:p w:rsidR="0074016C" w:rsidRPr="0074016C" w:rsidRDefault="00A54ECD" w:rsidP="0074016C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Djelomično se prihvaća</w:t>
            </w:r>
          </w:p>
          <w:p w:rsidR="00061839" w:rsidRDefault="00061839" w:rsidP="0074016C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Zakon o gospodarenju otpadom (NN 84/21) propisao je što Odluka o načinju pružanja javne usluge mora sadržavati.</w:t>
            </w:r>
          </w:p>
          <w:p w:rsidR="00CC6C6F" w:rsidRDefault="00CC6C6F" w:rsidP="0074016C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Ova</w:t>
            </w:r>
            <w:r w:rsidR="00A54EC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j 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>je</w:t>
            </w:r>
            <w:r w:rsidR="00A54ECD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prijedlog Odluke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sadržajno potpunij</w:t>
            </w:r>
            <w:r w:rsidR="00A54ECD">
              <w:rPr>
                <w:rFonts w:ascii="Arial Narrow" w:hAnsi="Arial Narrow"/>
                <w:sz w:val="20"/>
                <w:szCs w:val="20"/>
                <w:lang w:eastAsia="zh-CN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 detaljnij</w:t>
            </w:r>
            <w:r w:rsidR="00A54ECD">
              <w:rPr>
                <w:rFonts w:ascii="Arial Narrow" w:hAnsi="Arial Narrow"/>
                <w:sz w:val="20"/>
                <w:szCs w:val="20"/>
                <w:lang w:eastAsia="zh-CN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u odnosu na prvi prijedlog.</w:t>
            </w:r>
          </w:p>
          <w:p w:rsidR="006C5F55" w:rsidRPr="00732B84" w:rsidRDefault="00615004" w:rsidP="0074016C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32B84">
              <w:rPr>
                <w:rFonts w:ascii="Arial Narrow" w:hAnsi="Arial Narrow"/>
                <w:sz w:val="20"/>
                <w:szCs w:val="20"/>
                <w:lang w:eastAsia="zh-CN"/>
              </w:rPr>
              <w:t>Dosadašnja cijena obvezne minimalne javne usluge ovisila je o broju članova kućanstava odnosno veličini i djelatnosti pojedinog pravnog subjek</w:t>
            </w:r>
            <w:r w:rsidR="006C5F55" w:rsidRPr="00732B84">
              <w:rPr>
                <w:rFonts w:ascii="Arial Narrow" w:hAnsi="Arial Narrow"/>
                <w:sz w:val="20"/>
                <w:szCs w:val="20"/>
                <w:lang w:eastAsia="zh-CN"/>
              </w:rPr>
              <w:t>ta.</w:t>
            </w:r>
            <w:r w:rsidRPr="00732B8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Sukladno odredbama </w:t>
            </w:r>
            <w:r w:rsidR="006C5F55" w:rsidRPr="00732B84">
              <w:rPr>
                <w:rFonts w:ascii="Arial Narrow" w:hAnsi="Arial Narrow"/>
                <w:sz w:val="20"/>
                <w:szCs w:val="20"/>
                <w:lang w:eastAsia="zh-CN"/>
              </w:rPr>
              <w:t xml:space="preserve">članka 71. </w:t>
            </w:r>
            <w:r w:rsidRPr="00732B84">
              <w:rPr>
                <w:rFonts w:ascii="Arial Narrow" w:hAnsi="Arial Narrow"/>
                <w:sz w:val="20"/>
                <w:szCs w:val="20"/>
                <w:lang w:eastAsia="zh-CN"/>
              </w:rPr>
              <w:t>Zakona</w:t>
            </w:r>
            <w:r w:rsidR="006C5F55" w:rsidRPr="00732B8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korisnici javne usluge ovisno o načinu korištenja nekretnine, trajno ili povremeno, u svrhu stanovanja (vlasnici stanova, kuća, nekretnina za odmor) ili u svrhu obavljanja</w:t>
            </w:r>
            <w:r w:rsidR="006C5F55" w:rsidRPr="00732B84">
              <w:rPr>
                <w:sz w:val="20"/>
                <w:szCs w:val="20"/>
                <w:lang w:eastAsia="hr-HR"/>
              </w:rPr>
              <w:t xml:space="preserve"> </w:t>
            </w:r>
            <w:r w:rsidR="006C5F55" w:rsidRPr="00732B8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djelatnosti </w:t>
            </w:r>
            <w:r w:rsidR="00A54ECD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A54EC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i </w:t>
            </w:r>
            <w:r w:rsidR="00A54ECD">
              <w:rPr>
                <w:rFonts w:ascii="Arial Narrow" w:hAnsi="Arial Narrow"/>
                <w:sz w:val="20"/>
                <w:szCs w:val="20"/>
                <w:lang w:eastAsia="hr-HR"/>
              </w:rPr>
              <w:t>iznajmljivači)</w:t>
            </w:r>
            <w:r w:rsidR="00A54ECD" w:rsidRPr="00732B8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C5F55" w:rsidRPr="00732B84">
              <w:rPr>
                <w:rFonts w:ascii="Arial Narrow" w:hAnsi="Arial Narrow"/>
                <w:sz w:val="20"/>
                <w:szCs w:val="20"/>
                <w:lang w:eastAsia="hr-HR"/>
              </w:rPr>
              <w:t>ili druge svrhe</w:t>
            </w:r>
            <w:r w:rsidR="006E62D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C5F55" w:rsidRPr="00732B84">
              <w:rPr>
                <w:rFonts w:ascii="Arial Narrow" w:hAnsi="Arial Narrow"/>
                <w:sz w:val="20"/>
                <w:szCs w:val="20"/>
                <w:lang w:eastAsia="hr-HR"/>
              </w:rPr>
              <w:t>razvrstavaju se u kategoriju:</w:t>
            </w:r>
          </w:p>
          <w:p w:rsidR="006C5F55" w:rsidRPr="00732B84" w:rsidRDefault="006C5F55" w:rsidP="0074016C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32B84">
              <w:rPr>
                <w:rFonts w:ascii="Arial Narrow" w:hAnsi="Arial Narrow"/>
                <w:sz w:val="20"/>
                <w:szCs w:val="20"/>
                <w:lang w:eastAsia="hr-HR"/>
              </w:rPr>
              <w:t>1. korisnika kućanstvo ili</w:t>
            </w:r>
          </w:p>
          <w:p w:rsidR="006C5F55" w:rsidRPr="00732B84" w:rsidRDefault="006C5F55" w:rsidP="00053500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32B84">
              <w:rPr>
                <w:rFonts w:ascii="Arial Narrow" w:hAnsi="Arial Narrow"/>
                <w:sz w:val="20"/>
                <w:szCs w:val="20"/>
                <w:lang w:eastAsia="hr-HR"/>
              </w:rPr>
              <w:t>2. korisnika koji nije kućanstvo,</w:t>
            </w:r>
          </w:p>
          <w:p w:rsidR="006C5F55" w:rsidRPr="00732B84" w:rsidRDefault="006C5F55" w:rsidP="00053500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32B8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Što znači da sva kućanstva neovisno o broju članova plaćaju istu cijenu obvezne minimalne javne usluge. Također i svi korisnici koji nisu u kategoriji kućanstvo, neovisno o veličini prostora ili djelatnosti koju obavlja plaćaju istu cijenu obvezne minimalne javne usluge. Slijedom navedenog,  nije svim kategorijama  korisnika </w:t>
            </w:r>
            <w:r w:rsidR="0074016C">
              <w:rPr>
                <w:rFonts w:ascii="Arial Narrow" w:hAnsi="Arial Narrow"/>
                <w:sz w:val="20"/>
                <w:szCs w:val="20"/>
                <w:lang w:eastAsia="hr-HR"/>
              </w:rPr>
              <w:t>uspoređujući s</w:t>
            </w:r>
            <w:r w:rsidRPr="00732B8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dosadašnj</w:t>
            </w:r>
            <w:r w:rsidR="0074016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Pr="00732B84">
              <w:rPr>
                <w:rFonts w:ascii="Arial Narrow" w:hAnsi="Arial Narrow"/>
                <w:sz w:val="20"/>
                <w:szCs w:val="20"/>
                <w:lang w:eastAsia="hr-HR"/>
              </w:rPr>
              <w:t>m obračun</w:t>
            </w:r>
            <w:r w:rsidR="0074016C">
              <w:rPr>
                <w:rFonts w:ascii="Arial Narrow" w:hAnsi="Arial Narrow"/>
                <w:sz w:val="20"/>
                <w:szCs w:val="20"/>
                <w:lang w:eastAsia="hr-HR"/>
              </w:rPr>
              <w:t>om</w:t>
            </w:r>
            <w:r w:rsidRPr="00732B8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jednako povećanje cijene OMJU. </w:t>
            </w:r>
          </w:p>
          <w:p w:rsidR="00D01C28" w:rsidRDefault="00732B84" w:rsidP="0005350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732B84">
              <w:rPr>
                <w:rFonts w:ascii="Arial Narrow" w:hAnsi="Arial Narrow" w:cstheme="minorHAnsi"/>
                <w:sz w:val="20"/>
                <w:szCs w:val="20"/>
                <w:lang w:eastAsia="zh-CN"/>
              </w:rPr>
              <w:t>O</w:t>
            </w:r>
            <w:r w:rsidR="006C5F55" w:rsidRPr="00732B8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bvezna minimalna javna usluga je iznos koji se osigurava radi ekonomski održivog poslovanja te sigurnosti, redovitosti i kvalitete pružanja javne usluge, kako bi sustav sakupljanja komunalnog otpada mogao ispuniti svoju svrhu.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1C28" w:rsidRDefault="00D01C28" w:rsidP="0005350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Cijena obvezne minimalne javne usluge uključuje troškove sakupljanja i odvoza miješanog komunalnog otpada, a obuhvaća materijalne troškove, troškove vanjskih usluga, nematerijalne troškove, trošak amortizacije, nabave opreme za prikupljanje otpada, troškove vođenja evidencija i troškove plaća radnika.</w:t>
            </w:r>
          </w:p>
          <w:p w:rsidR="00D01C28" w:rsidRDefault="00D01C28" w:rsidP="0005350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lastRenderedPageBreak/>
              <w:t xml:space="preserve">Cijena je određena kao ukupni trošak usluge podijeljena s brojem korisnika minimalne javne usluge uzimajući u obzir procijenjeni broj korisnika koji će ostvariti pravo na umanjenje cijene. </w:t>
            </w:r>
          </w:p>
          <w:p w:rsidR="00D01C28" w:rsidRDefault="00D01C28" w:rsidP="0005350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Prema dobivenim podacima davatelja usluge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, </w:t>
            </w:r>
            <w:r w:rsidR="0074016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tvrtke Komunalac d.o.o.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, 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ukupni navedeni troškovi tvrtke 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za obračun cijene MJU iznose 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cca 3.980.800,00 kn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godišnje, 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uz planiran 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ukupan broj korisnika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na području Grada Delnica 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6.714</w:t>
            </w:r>
            <w:r w:rsidR="006E62D2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korisnika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4EC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temeljem čega  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prijedlog </w:t>
            </w:r>
            <w:r w:rsidR="00A54EC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iznos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 obvezne minimalne javne usluge za Grad Delnice izn</w:t>
            </w:r>
            <w:r w:rsidR="0074016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osi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45,00</w:t>
            </w:r>
            <w:r w:rsidR="0074016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05350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kn za kategoriju kućanstvo te 80,00 kn za kategoriju nije kućanstvo.</w:t>
            </w:r>
          </w:p>
          <w:p w:rsidR="00053500" w:rsidRDefault="00053500" w:rsidP="0005350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Ono što Grad Delnice </w:t>
            </w:r>
            <w:r w:rsidR="0074016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dodatno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predlaže u svojoj Odluci jesu kriteriji za umanjenje  cijene javne usluge od 10% za korisnika usluge koji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kompostira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biootpad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 čime se cijena usluge umanjuje</w:t>
            </w:r>
            <w:r w:rsidR="009977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(niža je nego li u ostalim JLS)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 potiče se odvajanje otpada što uostalom i je svrha Zakona i pr</w:t>
            </w:r>
            <w:r w:rsidR="0074016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ijedloga O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dluke Grada</w:t>
            </w:r>
            <w:r w:rsidR="00FA564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Također, previđena je mogućnost umanjenja cijene javne usluge od 50 % za korisnike koji povremeno koristi uslugu jer reciklira svoj otpad i ima manju količinu miješanog komunalnog otpada  i to samo povremeno. </w:t>
            </w:r>
          </w:p>
          <w:p w:rsidR="00160D22" w:rsidRDefault="009977C4" w:rsidP="009977C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Prema starom cjeniku i ovisno o veličini spremnika  60,120, 240 litara cijena MJU iznosila je 25,33</w:t>
            </w:r>
            <w:r w:rsidR="00A54EC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kn, 39,11 kn te 52,89 kn. </w:t>
            </w:r>
          </w:p>
          <w:p w:rsidR="00A54ECD" w:rsidRDefault="00A54ECD" w:rsidP="009977C4">
            <w:pPr>
              <w:shd w:val="clear" w:color="auto" w:fill="FFFFFF"/>
              <w:spacing w:after="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  <w:p w:rsidR="009977C4" w:rsidRDefault="009977C4" w:rsidP="00737858">
            <w:pPr>
              <w:shd w:val="clear" w:color="auto" w:fill="FFFFFF"/>
              <w:spacing w:after="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Prema dostavljenim podacima  davatelja usluge, </w:t>
            </w:r>
            <w:r w:rsidR="00737858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o kojima se eventualno može raspravljati,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pre</w:t>
            </w:r>
            <w:r w:rsidR="00536BE8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ložene su cijene kao u Odluci.</w:t>
            </w:r>
          </w:p>
          <w:p w:rsidR="00A54ECD" w:rsidRPr="00732B84" w:rsidRDefault="00A54ECD" w:rsidP="00737858">
            <w:pPr>
              <w:shd w:val="clear" w:color="auto" w:fill="FFFFFF"/>
              <w:spacing w:after="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0D22" w:rsidRPr="00C30E67" w:rsidTr="001533E9">
        <w:trPr>
          <w:trHeight w:val="567"/>
        </w:trPr>
        <w:tc>
          <w:tcPr>
            <w:tcW w:w="773" w:type="dxa"/>
          </w:tcPr>
          <w:p w:rsidR="00160D22" w:rsidRPr="00C30E67" w:rsidRDefault="00160D22" w:rsidP="00C30E67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30E67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887" w:type="dxa"/>
          </w:tcPr>
          <w:p w:rsidR="00160D22" w:rsidRPr="00C30E67" w:rsidRDefault="006E62D2" w:rsidP="00C30E67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30E67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Komunalac d.o.o.</w:t>
            </w:r>
          </w:p>
          <w:p w:rsidR="006E62D2" w:rsidRPr="00C30E67" w:rsidRDefault="006E62D2" w:rsidP="00C30E67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30E67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Delnice</w:t>
            </w:r>
          </w:p>
        </w:tc>
        <w:tc>
          <w:tcPr>
            <w:tcW w:w="1570" w:type="dxa"/>
          </w:tcPr>
          <w:p w:rsidR="00160D22" w:rsidRPr="00C30E67" w:rsidRDefault="00160D22" w:rsidP="00C30E67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</w:tcPr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 Budući da ste prijedlogom odluke o načinu pružanja javne usluge sakupljanja komunalnog otpada na području grada Delnica društvo Komunalac d.o.o. Delnice predvidjeli kao pružatelja usluge dostavljamo nekoliko primjedbi na nacrt odluke  kako slijedi: </w:t>
            </w: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1.</w:t>
            </w:r>
            <w:r w:rsidRPr="00C30E6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hr-HR"/>
              </w:rPr>
              <w:t>       </w:t>
            </w: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U članku 5.st.4.predviđate mogućnost da korisnici javnih usluga koji su po Zakonu svrstani u kategoriju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nekućanstava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( iznajmljivači, ugostiteljske usluge u domaćinstvu i sl.)  kada nekretninu koriste samo dio godine za obavljanje te djelatnosti, u  periodu korištenja nekretnine uslugu obračunavamo po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cjeni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nekućanstvo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, a kada ne koriste nekretninu da im se usluga </w:t>
            </w: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lastRenderedPageBreak/>
              <w:t>obračunava kao korisnicima u kategoriji kućanstava.  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Neznamo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da li je to u skladu sa Zakonom, a isto tako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neznamo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koja bi rješenja za tako nešto bila mjerodavna.</w:t>
            </w:r>
          </w:p>
          <w:p w:rsid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2.</w:t>
            </w:r>
            <w:r w:rsidRPr="00C30E6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hr-HR"/>
              </w:rPr>
              <w:t>       </w:t>
            </w: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U članku 10. odluke predvidjeli ste učestalost odvoza pojedinih vrsta otpada. Smatramo da za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reciklabilni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komunalni otpad je dovoljan jedan odvoz  mjesečno, a ne najmanje jednom tjedno kako ste vi predvidjeli. U istom članku predvidjeli ste do  dva puta godišnje odvoz glomaznog otpada bez naknade za korisnike u kategoriji kućanstvo. Smatramo da bi trebalo to promijeniti na način da se odvoz glomaznog otpada do 5 m³ u jednoj turi vrši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jedanputa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godišnje bez plaćanja naknade za korisnike u kategoriji kućanstvo.  </w:t>
            </w:r>
          </w:p>
          <w:p w:rsidR="00032878" w:rsidRDefault="00032878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</w:p>
          <w:p w:rsidR="00032878" w:rsidRDefault="00032878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</w:p>
          <w:p w:rsidR="00032878" w:rsidRPr="00C30E67" w:rsidRDefault="00032878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</w:p>
          <w:p w:rsidR="00032878" w:rsidRDefault="00032878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3.</w:t>
            </w:r>
            <w:r w:rsidRPr="00C30E6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hr-HR"/>
              </w:rPr>
              <w:t>       </w:t>
            </w: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U člancima 16. i 17. predvidjeli ste kriterij za umanjenje cijene javne usluge. Zakonodavac je odredbama Zakona o gospodarenju otpadom čl. 66.st.2.točka2. predvidio mogućnost  da Odluka može sadržavati kriterij za smanjenje cijene javne usluge i s time smo suglasni. Međutim, smatramo da točno određivanje kriterija kako ste vi naveli nije prihvatljivo niti dobrodošlo sve do trenutka dok ne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sažive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odredbe iz Zakona i Odluke koje se odnose na pružatelja usluge ali i na korisnike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usluge.U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čl. 16.predvidjeli ste kriterij smanjenja cijene  za 10%  ako korisnik usluga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kompostira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 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biootpad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uz napomenu da nadzor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kompostiranja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otpadom može izvršiti davatelj, odnosno pružatelj usluge. S obzirom na veliki broj naselja iz kojih se odvozi miješani komunalni otpad , udaljenost od  samog naselja Delnice, kao i činjenicu da se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biootpad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može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kompostirati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u bilo kojem trenutku (popodne,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naveče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, rano ujutro,  vikendom, blagdanom i sl.) nije nam jasno kako se tada može izvršiti  kontrola kojom će se utvrditi stvarno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kompostiranje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biootpada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. Koliko bi za to trebalo ljudi u društvu koje je pružatelj usluga i što bi to značilo vezano za troškove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lastRenderedPageBreak/>
              <w:t>obavljenje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te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djelatnsoti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, odnosno cijenu koji bi krajnji korisnici morali platiti. Osim toga kako i na osnovu čega izvršiti kontrolu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kompostiranja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na parcelama koje su u privatnom posjedu.</w:t>
            </w: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U članku 17.također vezano za  popust na cijenu javne usluge navodite korisnike usluga iz kategorije kućanstava koji povremeno koriste uslugu, a u stavku 2.tog članka navodite korisnike usluga iz kategorije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nekućanstava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koji nema potrebu za posudom za miješani komunalni otpad volumena 120 l.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Neznamo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tko bi trebao utvrđivati korisnike tih usluga koji povremeno koriste uslugu, i korisnike koji nemaju potrebe za posudom volumena 120 l za miješani komunalni otpad.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Neznam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temeljem čega je utvrđeno da isti  predaju više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recikabilnog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otpada a da istovremeno imaju manju količinu miješanog komunalnog otpada. Poznato je na koji način se može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kompostirati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biootpad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-tvornički proizvedeni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komosteri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i „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komposteri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vlastite izvedbe“, u slučaju da korisnici zatraže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kompostere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tvorničke proizvodnje postavljamo pitanje čija će biti obveza nabavke i održavanja tih vrsta posuda.</w:t>
            </w: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Primjenom navedenih kriterija za smanjenje cijena javne usluge smanjiti će se i prihodi od te usluge , te smo sasvim sigurni dok se ekološki svi ne osvijestimo, to značiti i nemogućnost pokrivanja troškova sa predviđenim cijenama obvezne minimalne javne usluge kako je to navedene u čl.14.vaše odluke.  </w:t>
            </w: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Vjerujemo da vam je poznato da kao pružatelji usluge prije primjene cjenika u prilogu zahtjeva za izdavanje suglasnosti na odluku o cijeni javne usluge moramo dostaviti izjavu odgovorne osobe pružatelja javne usluge da je prijedlog cjenika u skladu sa odredbama Zakona i u skladu sa vašom Odlukom.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Neznamo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 xml:space="preserve"> kako odgovorna osoba pružatelja usluge može dati takvu izjavu budući da kao pružatelj usluge  nismo upoznati na osnovu čega i kako je određena cijena obvezne minimalne javne usluge, (čl. 66.st.1.točka 6. Zakona), a vezano uz činjenicu da se je do sada do sada baratalo sa cijenama obveznih javnih usluga u iznosu od 40, 42, 45 i 60 kn za korisnike u kategoriji kućanstva, odnosno sa cijenama u iznosu od </w:t>
            </w:r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lastRenderedPageBreak/>
              <w:t xml:space="preserve">115,  300 i 85 kn za cijenu obvezne usluge za korisnike u kategoriji </w:t>
            </w:r>
            <w:proofErr w:type="spellStart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nekućanstava</w:t>
            </w:r>
            <w:proofErr w:type="spellEnd"/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.</w:t>
            </w: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4.</w:t>
            </w:r>
            <w:r w:rsidRPr="00C30E6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hr-HR"/>
              </w:rPr>
              <w:t>       </w:t>
            </w: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U članku 27.prijedloga odluke stavak 3.navodite rok u kojem je davatelj usluge pisanim putem dužan obavijestiti grad Delnice o promjeni vremena preuzimanja komunalnog otpada u slučaju  izvanrednih okolnosti ( blagdani, neradni dani i  sl.) .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Neznamo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što podrazumijevate pod pojmom slično i izvanredne okolnosti, a isto tako postavljamo pitanje kako rješavati primjedbe korisnika usluge koji ne koriste elektroničke načine komuniciranja.</w:t>
            </w:r>
          </w:p>
          <w:p w:rsidR="00C30E67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</w:pP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5.</w:t>
            </w:r>
            <w:r w:rsidRPr="00C30E67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hr-HR"/>
              </w:rPr>
              <w:t>       </w:t>
            </w:r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U dodatku  II. Odluke u čl.18.naveli ste uvjete korištenja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reciklažnog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dvorišta ( predočenje osobne iskaznice i posljednjeg računa o plaćenoj javnoj usluzi). Nije  nam jasno kako bi djelatnik na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reciklažnom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dvorištu trebao postupiti  ukoliko podaci o korisniku koji predaje otpad na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reciklažnom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dvorištu iz osobne iskaznice  nisu identični sa dokazom o plaćenom računu korisnika usluge kojega ma imamo evidentirano u bazi podataka. Na taj način, predočenjem dokaza o podmirenju posljednjeg računa o izvršenoj javnoj usluzi korištenje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reciklažnog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dvorišta omogućiti će se svim korisnicima koji plate bar jedan račun za navedenu javnu uslugu. Smatramo da se korištenje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reciklažnog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dvorišta treba omogućiti što većem broju korisnika te javne usluge pri čemu bar u početku korištenja </w:t>
            </w:r>
            <w:proofErr w:type="spellStart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>reciklažnog</w:t>
            </w:r>
            <w:proofErr w:type="spellEnd"/>
            <w:r w:rsidRPr="00C30E67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hr-HR"/>
              </w:rPr>
              <w:t xml:space="preserve"> dvorišta ne bi bilo svrsishodno traženje navedenih dokumenata i dokaza.</w:t>
            </w:r>
          </w:p>
          <w:p w:rsidR="00160D22" w:rsidRPr="00C30E67" w:rsidRDefault="00C30E67" w:rsidP="00C30E67">
            <w:pPr>
              <w:shd w:val="clear" w:color="auto" w:fill="FFFFFF"/>
              <w:spacing w:after="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30E67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5184" w:type="dxa"/>
          </w:tcPr>
          <w:p w:rsidR="00160D22" w:rsidRDefault="006F5C0D" w:rsidP="006F5C0D">
            <w:pPr>
              <w:pStyle w:val="Bezprored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  <w:r w:rsidR="00536BE8" w:rsidRPr="00536BE8">
              <w:rPr>
                <w:rFonts w:ascii="Arial Narrow" w:hAnsi="Arial Narrow"/>
                <w:b/>
                <w:sz w:val="20"/>
                <w:szCs w:val="20"/>
              </w:rPr>
              <w:t>Ne prihvaća se</w:t>
            </w:r>
          </w:p>
          <w:p w:rsidR="00586B8A" w:rsidRDefault="00586B8A" w:rsidP="006F5C0D">
            <w:pPr>
              <w:pStyle w:val="Bezprored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B8A" w:rsidRDefault="00586B8A" w:rsidP="006F5C0D">
            <w:pPr>
              <w:pStyle w:val="Bezprored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B8A" w:rsidRDefault="00586B8A" w:rsidP="006F5C0D">
            <w:pPr>
              <w:pStyle w:val="Bezprored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B8A" w:rsidRPr="00536BE8" w:rsidRDefault="00586B8A" w:rsidP="006F5C0D">
            <w:pPr>
              <w:pStyle w:val="Bezprored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F5C0D" w:rsidRDefault="006F5C0D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1.Sukladno tumačenju Ministarstva gospodarstva i održivog razvoja mogu li se iznajmljivači svrstati u dvije kategorije kućanstvo i nije kućanstvo, odgovoreno je na način da pojedini iznajmljivači obavljaju djelatnost samo jedan dio godine te im se u Rješenju koje su ishodili za pružanje ugostiteljske usluge u domaćinstvu navodi razdoblje pružanja usluge, što znači da izvan tog razdoblja MOBU BITI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SVRSTANI U KATEGORIJU KUĆANSTVO, a što mora bit</w:t>
            </w:r>
            <w:r w:rsidR="00032878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 naznačeno u Odluci o načinu pružanja javne usluge. </w:t>
            </w:r>
          </w:p>
          <w:p w:rsidR="00536BE8" w:rsidRDefault="00536BE8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36BE8" w:rsidRDefault="006E5D80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Učestalost odvoza pojedinih vrsta otpada definiran je na način da  lokacije </w:t>
            </w:r>
            <w:r w:rsidR="00341D18">
              <w:rPr>
                <w:rFonts w:ascii="Arial Narrow" w:hAnsi="Arial Narrow"/>
                <w:sz w:val="20"/>
                <w:szCs w:val="20"/>
              </w:rPr>
              <w:t xml:space="preserve">(tzv. zeleni otoci) </w:t>
            </w:r>
            <w:r>
              <w:rPr>
                <w:rFonts w:ascii="Arial Narrow" w:hAnsi="Arial Narrow"/>
                <w:sz w:val="20"/>
                <w:szCs w:val="20"/>
              </w:rPr>
              <w:t>na području Grada ne budu zatrpan</w:t>
            </w:r>
            <w:r w:rsidR="00341D18">
              <w:rPr>
                <w:rFonts w:ascii="Arial Narrow" w:hAnsi="Arial Narrow"/>
                <w:sz w:val="20"/>
                <w:szCs w:val="20"/>
              </w:rPr>
              <w:t>i</w:t>
            </w:r>
            <w:r w:rsidR="00701D75">
              <w:rPr>
                <w:rFonts w:ascii="Arial Narrow" w:hAnsi="Arial Narrow"/>
                <w:sz w:val="20"/>
                <w:szCs w:val="20"/>
              </w:rPr>
              <w:t xml:space="preserve"> pojedino</w:t>
            </w:r>
            <w:r w:rsidR="00341D18">
              <w:rPr>
                <w:rFonts w:ascii="Arial Narrow" w:hAnsi="Arial Narrow"/>
                <w:sz w:val="20"/>
                <w:szCs w:val="20"/>
              </w:rPr>
              <w:t>m</w:t>
            </w:r>
            <w:r w:rsidR="00701D75">
              <w:rPr>
                <w:rFonts w:ascii="Arial Narrow" w:hAnsi="Arial Narrow"/>
                <w:sz w:val="20"/>
                <w:szCs w:val="20"/>
              </w:rPr>
              <w:t xml:space="preserve"> vrstom </w:t>
            </w:r>
            <w:proofErr w:type="spellStart"/>
            <w:r w:rsidR="00701D75">
              <w:rPr>
                <w:rFonts w:ascii="Arial Narrow" w:hAnsi="Arial Narrow"/>
                <w:sz w:val="20"/>
                <w:szCs w:val="20"/>
              </w:rPr>
              <w:t>reciklabilnog</w:t>
            </w:r>
            <w:proofErr w:type="spellEnd"/>
            <w:r w:rsidR="00701D75">
              <w:rPr>
                <w:rFonts w:ascii="Arial Narrow" w:hAnsi="Arial Narrow"/>
                <w:sz w:val="20"/>
                <w:szCs w:val="20"/>
              </w:rPr>
              <w:t xml:space="preserve"> otpada jer spremnici tada svojim  izgledom</w:t>
            </w:r>
            <w:r w:rsidR="00341D1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01D75">
              <w:rPr>
                <w:rFonts w:ascii="Arial Narrow" w:hAnsi="Arial Narrow"/>
                <w:sz w:val="20"/>
                <w:szCs w:val="20"/>
              </w:rPr>
              <w:t xml:space="preserve"> jer ih nije moguće zatvoriti, znatno nagrđuju vizuru Grada. </w:t>
            </w:r>
          </w:p>
          <w:p w:rsidR="00032878" w:rsidRDefault="00032878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E5D80" w:rsidRDefault="00701D75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Također</w:t>
            </w:r>
            <w:r w:rsidR="00536BE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341D18">
              <w:rPr>
                <w:rFonts w:ascii="Arial Narrow" w:hAnsi="Arial Narrow"/>
                <w:sz w:val="20"/>
                <w:szCs w:val="20"/>
              </w:rPr>
              <w:t xml:space="preserve"> želja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6BE8">
              <w:rPr>
                <w:rFonts w:ascii="Arial Narrow" w:hAnsi="Arial Narrow"/>
                <w:sz w:val="20"/>
                <w:szCs w:val="20"/>
              </w:rPr>
              <w:t xml:space="preserve"> je </w:t>
            </w:r>
            <w:r>
              <w:rPr>
                <w:rFonts w:ascii="Arial Narrow" w:hAnsi="Arial Narrow"/>
                <w:sz w:val="20"/>
                <w:szCs w:val="20"/>
              </w:rPr>
              <w:t xml:space="preserve">da glomazni otpad ne završi negdje u okolišu već da se kategoriji kućanstvo omogući do </w:t>
            </w:r>
            <w:r w:rsidR="00341D18">
              <w:rPr>
                <w:rFonts w:ascii="Arial Narrow" w:hAnsi="Arial Narrow"/>
                <w:sz w:val="20"/>
                <w:szCs w:val="20"/>
              </w:rPr>
              <w:t>dva puta odvoz glomaznog otpada</w:t>
            </w:r>
            <w:r w:rsidR="00536BE8">
              <w:rPr>
                <w:rFonts w:ascii="Arial Narrow" w:hAnsi="Arial Narrow"/>
                <w:sz w:val="20"/>
                <w:szCs w:val="20"/>
              </w:rPr>
              <w:t xml:space="preserve"> bez naknade</w:t>
            </w:r>
            <w:r w:rsidR="00341D18">
              <w:rPr>
                <w:rFonts w:ascii="Arial Narrow" w:hAnsi="Arial Narrow"/>
                <w:sz w:val="20"/>
                <w:szCs w:val="20"/>
              </w:rPr>
              <w:t>, uzimajući pri tom u obzir da je učešće odvoza glomaznog otpada u ukupnoj cijeni svih troškova, kao i broj korisnika koji godišnje imaju potrebu za odvozom glomaznog otpada</w:t>
            </w:r>
            <w:r w:rsidR="00536BE8">
              <w:rPr>
                <w:rFonts w:ascii="Arial Narrow" w:hAnsi="Arial Narrow"/>
                <w:sz w:val="20"/>
                <w:szCs w:val="20"/>
              </w:rPr>
              <w:t xml:space="preserve"> relativno mali </w:t>
            </w:r>
            <w:r w:rsidR="00341D18">
              <w:rPr>
                <w:rFonts w:ascii="Arial Narrow" w:hAnsi="Arial Narrow"/>
                <w:sz w:val="20"/>
                <w:szCs w:val="20"/>
              </w:rPr>
              <w:t xml:space="preserve"> ako uspoređujemo podatke iz Godišnjeg izvještaja o poslovanju  za 2021.,  te smo mišljenja da je ova varijanta ispravnija i da treba biti sadržana u ovoj Odluci.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36BE8" w:rsidRDefault="00536BE8" w:rsidP="006F5C0D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338AF" w:rsidRDefault="006E5D80" w:rsidP="00A338AF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F5C0D">
              <w:rPr>
                <w:rFonts w:ascii="Arial Narrow" w:hAnsi="Arial Narrow"/>
                <w:sz w:val="20"/>
                <w:szCs w:val="20"/>
              </w:rPr>
              <w:t>.</w:t>
            </w:r>
            <w:r w:rsidR="00A338AF">
              <w:rPr>
                <w:rFonts w:ascii="Arial" w:hAnsi="Arial" w:cs="Arial"/>
                <w:color w:val="747B86"/>
                <w:shd w:val="clear" w:color="auto" w:fill="FAFAFA"/>
              </w:rPr>
              <w:t xml:space="preserve"> 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Prikupljeni </w:t>
            </w:r>
            <w:r w:rsidRPr="006E5D80">
              <w:rPr>
                <w:rStyle w:val="Naglaeno"/>
                <w:rFonts w:ascii="Arial Narrow" w:hAnsi="Arial Narrow" w:cs="Arial"/>
                <w:b w:val="0"/>
                <w:sz w:val="20"/>
                <w:szCs w:val="20"/>
                <w:shd w:val="clear" w:color="auto" w:fill="FAFAFA"/>
              </w:rPr>
              <w:t>zeleni otpad</w:t>
            </w:r>
            <w:r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 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iz domaćinstva, u koji spada trava, lišće i granje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, </w:t>
            </w:r>
            <w:r w:rsidR="00341D18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njihovim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 </w:t>
            </w:r>
            <w:r w:rsid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o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dvozom i zbrinjavanjem</w:t>
            </w:r>
            <w:r w:rsidR="00032878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,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 smanjuje se količina otpada </w:t>
            </w:r>
            <w:r w:rsid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koji se odlaže na odlagalištu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, </w:t>
            </w:r>
            <w:r w:rsid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 čime se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 dobiva vrijedna sirovina uz smanjenje štetnih utjecaja otpada na okoliš. Ono što je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namjera odredbe prijedloga </w:t>
            </w:r>
            <w:r w:rsidR="00536BE8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 xml:space="preserve">ove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Odluke da sakupljeni zeleni otpad odla</w:t>
            </w:r>
            <w:r w:rsidR="00A338AF"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ž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e u zasebne</w:t>
            </w:r>
            <w:r w:rsidRPr="006E5D80">
              <w:rPr>
                <w:rFonts w:ascii="Arial Narrow" w:hAnsi="Arial Narrow" w:cs="Arial"/>
                <w:b/>
                <w:sz w:val="20"/>
                <w:szCs w:val="20"/>
                <w:shd w:val="clear" w:color="auto" w:fill="FAFAFA"/>
              </w:rPr>
              <w:t> </w:t>
            </w:r>
            <w:r w:rsidRPr="006E5D80">
              <w:rPr>
                <w:rStyle w:val="Naglaeno"/>
                <w:rFonts w:ascii="Arial Narrow" w:hAnsi="Arial Narrow" w:cs="Arial"/>
                <w:b w:val="0"/>
                <w:sz w:val="20"/>
                <w:szCs w:val="20"/>
                <w:shd w:val="clear" w:color="auto" w:fill="FAFAFA"/>
              </w:rPr>
              <w:t>smeđe kante</w:t>
            </w:r>
            <w:r>
              <w:rPr>
                <w:rStyle w:val="Naglaeno"/>
                <w:rFonts w:ascii="Arial Narrow" w:hAnsi="Arial Narrow" w:cs="Arial"/>
                <w:b w:val="0"/>
                <w:sz w:val="20"/>
                <w:szCs w:val="20"/>
                <w:shd w:val="clear" w:color="auto" w:fill="FAFAFA"/>
              </w:rPr>
              <w:t xml:space="preserve">. </w:t>
            </w:r>
            <w:r w:rsidRPr="00A338AF">
              <w:rPr>
                <w:rFonts w:ascii="Arial Narrow" w:hAnsi="Arial Narrow" w:cs="Arial"/>
                <w:sz w:val="20"/>
                <w:szCs w:val="20"/>
                <w:shd w:val="clear" w:color="auto" w:fill="FAFAFA"/>
              </w:rPr>
              <w:t> </w:t>
            </w:r>
            <w:r w:rsidRPr="00A3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38AF" w:rsidRPr="00A338AF">
              <w:rPr>
                <w:rFonts w:ascii="Arial Narrow" w:hAnsi="Arial Narrow"/>
                <w:sz w:val="20"/>
                <w:szCs w:val="20"/>
              </w:rPr>
              <w:t xml:space="preserve">Više od 1/3 ukupnog otpada koji nastaje u domaćinstvima je organski ili </w:t>
            </w:r>
            <w:proofErr w:type="spellStart"/>
            <w:r w:rsidR="00A338AF" w:rsidRPr="00A338AF">
              <w:rPr>
                <w:rFonts w:ascii="Arial Narrow" w:hAnsi="Arial Narrow"/>
                <w:sz w:val="20"/>
                <w:szCs w:val="20"/>
              </w:rPr>
              <w:t>biootpad</w:t>
            </w:r>
            <w:proofErr w:type="spellEnd"/>
            <w:r w:rsidR="00A338AF" w:rsidRPr="00A338AF">
              <w:rPr>
                <w:rFonts w:ascii="Arial Narrow" w:hAnsi="Arial Narrow"/>
                <w:sz w:val="20"/>
                <w:szCs w:val="20"/>
              </w:rPr>
              <w:t>. Takav otpad nije smeće, već visokovrijedna sirovina za proizvodnju komposta.</w:t>
            </w:r>
            <w:r w:rsidR="00A3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Zajednički interes trebao bi biti da što više korisnika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kompostira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biootpad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Davatelj usluge procjenjuje kada</w:t>
            </w:r>
            <w:r w:rsidR="00341D18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o kom obliku i na koji način </w:t>
            </w:r>
            <w:r w:rsidRPr="006E5D80">
              <w:rPr>
                <w:rFonts w:ascii="Arial Narrow" w:hAnsi="Arial Narrow"/>
                <w:b/>
                <w:sz w:val="20"/>
                <w:szCs w:val="20"/>
                <w:u w:val="single"/>
              </w:rPr>
              <w:t>može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6E5D80">
              <w:rPr>
                <w:rFonts w:ascii="Arial Narrow" w:hAnsi="Arial Narrow"/>
                <w:sz w:val="20"/>
                <w:szCs w:val="20"/>
              </w:rPr>
              <w:t xml:space="preserve">vršiti </w:t>
            </w:r>
            <w:r>
              <w:rPr>
                <w:rFonts w:ascii="Arial Narrow" w:hAnsi="Arial Narrow"/>
                <w:sz w:val="20"/>
                <w:szCs w:val="20"/>
              </w:rPr>
              <w:t xml:space="preserve"> kontrolu. </w:t>
            </w:r>
          </w:p>
          <w:p w:rsidR="00536BE8" w:rsidRPr="006E5D80" w:rsidRDefault="00536BE8" w:rsidP="00A338AF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A5646" w:rsidRDefault="00FA5646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Člankom 17. definirani su dodatni kriteriji za </w:t>
            </w:r>
            <w:r w:rsidR="00536BE8">
              <w:rPr>
                <w:rFonts w:ascii="Arial Narrow" w:hAnsi="Arial Narrow"/>
                <w:sz w:val="20"/>
                <w:szCs w:val="20"/>
              </w:rPr>
              <w:t>primjerice osobe koje žive same a</w:t>
            </w:r>
            <w:r>
              <w:rPr>
                <w:rFonts w:ascii="Arial Narrow" w:hAnsi="Arial Narrow"/>
                <w:sz w:val="20"/>
                <w:szCs w:val="20"/>
              </w:rPr>
              <w:t xml:space="preserve"> recikliraju svoj otpadi</w:t>
            </w:r>
            <w:r w:rsidR="00630473">
              <w:rPr>
                <w:rFonts w:ascii="Arial Narrow" w:hAnsi="Arial Narrow"/>
                <w:sz w:val="20"/>
                <w:szCs w:val="20"/>
              </w:rPr>
              <w:t xml:space="preserve"> te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5646">
              <w:rPr>
                <w:rFonts w:ascii="Arial Narrow" w:hAnsi="Arial Narrow"/>
                <w:sz w:val="20"/>
                <w:szCs w:val="20"/>
                <w:u w:val="single"/>
              </w:rPr>
              <w:t>povremeno</w:t>
            </w:r>
            <w:r>
              <w:rPr>
                <w:rFonts w:ascii="Arial Narrow" w:hAnsi="Arial Narrow"/>
                <w:sz w:val="20"/>
                <w:szCs w:val="20"/>
              </w:rPr>
              <w:t xml:space="preserve"> koriste</w:t>
            </w:r>
            <w:r w:rsidR="00722AA5">
              <w:rPr>
                <w:rFonts w:ascii="Arial Narrow" w:hAnsi="Arial Narrow"/>
                <w:sz w:val="20"/>
                <w:szCs w:val="20"/>
              </w:rPr>
              <w:t xml:space="preserve"> javnu </w:t>
            </w:r>
            <w:r>
              <w:rPr>
                <w:rFonts w:ascii="Arial Narrow" w:hAnsi="Arial Narrow"/>
                <w:sz w:val="20"/>
                <w:szCs w:val="20"/>
              </w:rPr>
              <w:t xml:space="preserve"> uslug</w:t>
            </w:r>
            <w:r w:rsidR="00722AA5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536BE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Načelo da se otpad reciklira treba biti nagrađeno. Na koji način </w:t>
            </w:r>
            <w:r w:rsidR="00630473">
              <w:rPr>
                <w:rFonts w:ascii="Arial Narrow" w:hAnsi="Arial Narrow"/>
                <w:sz w:val="20"/>
                <w:szCs w:val="20"/>
              </w:rPr>
              <w:t>će davatelj usluge p</w:t>
            </w:r>
            <w:r>
              <w:rPr>
                <w:rFonts w:ascii="Arial Narrow" w:hAnsi="Arial Narrow"/>
                <w:sz w:val="20"/>
                <w:szCs w:val="20"/>
              </w:rPr>
              <w:t>rikupiti nužne informacije, putem Izjave iz članka 28.</w:t>
            </w:r>
            <w:r w:rsidR="00630473">
              <w:rPr>
                <w:rFonts w:ascii="Arial Narrow" w:hAnsi="Arial Narrow"/>
                <w:sz w:val="20"/>
                <w:szCs w:val="20"/>
              </w:rPr>
              <w:t xml:space="preserve"> ili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0473">
              <w:rPr>
                <w:rFonts w:ascii="Arial Narrow" w:hAnsi="Arial Narrow"/>
                <w:sz w:val="20"/>
                <w:szCs w:val="20"/>
              </w:rPr>
              <w:t xml:space="preserve"> na</w:t>
            </w:r>
            <w:r w:rsidR="00722AA5">
              <w:rPr>
                <w:rFonts w:ascii="Arial Narrow" w:hAnsi="Arial Narrow"/>
                <w:sz w:val="20"/>
                <w:szCs w:val="20"/>
              </w:rPr>
              <w:t xml:space="preserve"> njemu</w:t>
            </w:r>
            <w:r w:rsidR="00630473">
              <w:rPr>
                <w:rFonts w:ascii="Arial Narrow" w:hAnsi="Arial Narrow"/>
                <w:sz w:val="20"/>
                <w:szCs w:val="20"/>
              </w:rPr>
              <w:t xml:space="preserve"> neki drugi prihvatljiviji način</w:t>
            </w:r>
            <w:r w:rsidR="00722AA5">
              <w:rPr>
                <w:rFonts w:ascii="Arial Narrow" w:hAnsi="Arial Narrow"/>
                <w:sz w:val="20"/>
                <w:szCs w:val="20"/>
              </w:rPr>
              <w:t>,</w:t>
            </w:r>
            <w:r w:rsidR="00630473">
              <w:rPr>
                <w:rFonts w:ascii="Arial Narrow" w:hAnsi="Arial Narrow"/>
                <w:sz w:val="20"/>
                <w:szCs w:val="20"/>
              </w:rPr>
              <w:t xml:space="preserve"> ovisi o Davatelju usluge.</w:t>
            </w:r>
          </w:p>
          <w:p w:rsidR="00536BE8" w:rsidRDefault="00536BE8" w:rsidP="00630473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2878" w:rsidRDefault="00032878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1994" w:rsidRDefault="00722AA5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Kako s prvim prijedlog</w:t>
            </w:r>
            <w:r w:rsidR="00536BE8">
              <w:rPr>
                <w:rFonts w:ascii="Arial Narrow" w:hAnsi="Arial Narrow"/>
                <w:sz w:val="20"/>
                <w:szCs w:val="20"/>
              </w:rPr>
              <w:t>om</w:t>
            </w:r>
            <w:r>
              <w:rPr>
                <w:rFonts w:ascii="Arial Narrow" w:hAnsi="Arial Narrow"/>
                <w:sz w:val="20"/>
                <w:szCs w:val="20"/>
              </w:rPr>
              <w:t xml:space="preserve"> Odluke </w:t>
            </w:r>
            <w:r w:rsidR="008F26EA">
              <w:rPr>
                <w:rFonts w:ascii="Arial Narrow" w:hAnsi="Arial Narrow"/>
                <w:sz w:val="20"/>
                <w:szCs w:val="20"/>
              </w:rPr>
              <w:t>Grad</w:t>
            </w:r>
            <w:r w:rsidR="00032878">
              <w:rPr>
                <w:rFonts w:ascii="Arial Narrow" w:hAnsi="Arial Narrow"/>
                <w:sz w:val="20"/>
                <w:szCs w:val="20"/>
              </w:rPr>
              <w:t xml:space="preserve"> Delnice </w:t>
            </w:r>
            <w:r w:rsidR="008F26EA">
              <w:rPr>
                <w:rFonts w:ascii="Arial Narrow" w:hAnsi="Arial Narrow"/>
                <w:sz w:val="20"/>
                <w:szCs w:val="20"/>
              </w:rPr>
              <w:t xml:space="preserve">nije bio </w:t>
            </w:r>
            <w:r>
              <w:rPr>
                <w:rFonts w:ascii="Arial Narrow" w:hAnsi="Arial Narrow"/>
                <w:sz w:val="20"/>
                <w:szCs w:val="20"/>
              </w:rPr>
              <w:t xml:space="preserve"> suglas</w:t>
            </w:r>
            <w:r w:rsidR="008F26EA">
              <w:rPr>
                <w:rFonts w:ascii="Arial Narrow" w:hAnsi="Arial Narrow"/>
                <w:sz w:val="20"/>
                <w:szCs w:val="20"/>
              </w:rPr>
              <w:t>an</w:t>
            </w:r>
            <w:r w:rsidR="00F83D80">
              <w:rPr>
                <w:rFonts w:ascii="Arial Narrow" w:hAnsi="Arial Narrow"/>
                <w:sz w:val="20"/>
                <w:szCs w:val="20"/>
              </w:rPr>
              <w:t xml:space="preserve"> (nije se radilo samo o cijeni već </w:t>
            </w:r>
            <w:r w:rsidR="00032878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F83D80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="00032878">
              <w:rPr>
                <w:rFonts w:ascii="Arial Narrow" w:hAnsi="Arial Narrow"/>
                <w:sz w:val="20"/>
                <w:szCs w:val="20"/>
              </w:rPr>
              <w:t xml:space="preserve">nekim </w:t>
            </w:r>
            <w:r w:rsidR="00F83D80">
              <w:rPr>
                <w:rFonts w:ascii="Arial Narrow" w:hAnsi="Arial Narrow"/>
                <w:sz w:val="20"/>
                <w:szCs w:val="20"/>
              </w:rPr>
              <w:t>odredbama navedenim u prijedlogu Odluke</w:t>
            </w:r>
            <w:r w:rsidR="00032878">
              <w:rPr>
                <w:rFonts w:ascii="Arial Narrow" w:hAnsi="Arial Narrow"/>
                <w:sz w:val="20"/>
                <w:szCs w:val="20"/>
              </w:rPr>
              <w:t>)</w:t>
            </w:r>
            <w:r w:rsidR="00F83D80">
              <w:rPr>
                <w:rFonts w:ascii="Arial Narrow" w:hAnsi="Arial Narrow"/>
                <w:sz w:val="20"/>
                <w:szCs w:val="20"/>
              </w:rPr>
              <w:t xml:space="preserve"> pristupilo se</w:t>
            </w:r>
            <w:r>
              <w:rPr>
                <w:rFonts w:ascii="Arial Narrow" w:hAnsi="Arial Narrow"/>
                <w:sz w:val="20"/>
                <w:szCs w:val="20"/>
              </w:rPr>
              <w:t xml:space="preserve"> izradili </w:t>
            </w:r>
            <w:r w:rsidR="00F83D80">
              <w:rPr>
                <w:rFonts w:ascii="Arial Narrow" w:hAnsi="Arial Narrow"/>
                <w:sz w:val="20"/>
                <w:szCs w:val="20"/>
              </w:rPr>
              <w:t>novog prijedloga</w:t>
            </w:r>
            <w:r>
              <w:rPr>
                <w:rFonts w:ascii="Arial Narrow" w:hAnsi="Arial Narrow"/>
                <w:sz w:val="20"/>
                <w:szCs w:val="20"/>
              </w:rPr>
              <w:t xml:space="preserve"> te</w:t>
            </w:r>
            <w:r w:rsidR="00B5018A">
              <w:rPr>
                <w:rFonts w:ascii="Arial Narrow" w:hAnsi="Arial Narrow"/>
                <w:sz w:val="20"/>
                <w:szCs w:val="20"/>
              </w:rPr>
              <w:t xml:space="preserve"> se</w:t>
            </w:r>
            <w:r w:rsidR="00F83D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u dva navrata provel</w:t>
            </w:r>
            <w:r w:rsidR="00F83D80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 xml:space="preserve"> javno savjetovanje</w:t>
            </w:r>
            <w:r w:rsidR="00F83D80">
              <w:rPr>
                <w:rFonts w:ascii="Arial Narrow" w:hAnsi="Arial Narrow"/>
                <w:sz w:val="20"/>
                <w:szCs w:val="20"/>
              </w:rPr>
              <w:t xml:space="preserve"> kako bi se </w:t>
            </w:r>
            <w:r w:rsidR="005A3917">
              <w:rPr>
                <w:rFonts w:ascii="Arial Narrow" w:hAnsi="Arial Narrow"/>
                <w:sz w:val="20"/>
                <w:szCs w:val="20"/>
              </w:rPr>
              <w:t>što više krajnjih korisnika uključilo u raspravu</w:t>
            </w:r>
            <w:r w:rsidR="00F83D80">
              <w:rPr>
                <w:rFonts w:ascii="Arial Narrow" w:hAnsi="Arial Narrow"/>
                <w:sz w:val="20"/>
                <w:szCs w:val="20"/>
              </w:rPr>
              <w:t xml:space="preserve"> obzirom da se radi o javnoj usluzi. </w:t>
            </w:r>
            <w:r w:rsidR="00D91994">
              <w:rPr>
                <w:rFonts w:ascii="Arial Narrow" w:hAnsi="Arial Narrow"/>
                <w:sz w:val="20"/>
                <w:szCs w:val="20"/>
              </w:rPr>
              <w:t xml:space="preserve">Sukladno </w:t>
            </w:r>
            <w:r w:rsidR="005A3917">
              <w:rPr>
                <w:rFonts w:ascii="Arial Narrow" w:hAnsi="Arial Narrow"/>
                <w:sz w:val="20"/>
                <w:szCs w:val="20"/>
              </w:rPr>
              <w:t>dostavljeni</w:t>
            </w:r>
            <w:r w:rsidR="00D91994">
              <w:rPr>
                <w:rFonts w:ascii="Arial Narrow" w:hAnsi="Arial Narrow"/>
                <w:sz w:val="20"/>
                <w:szCs w:val="20"/>
              </w:rPr>
              <w:t>m</w:t>
            </w:r>
            <w:r w:rsidR="005A3917">
              <w:rPr>
                <w:rFonts w:ascii="Arial Narrow" w:hAnsi="Arial Narrow"/>
                <w:sz w:val="20"/>
                <w:szCs w:val="20"/>
              </w:rPr>
              <w:t xml:space="preserve"> podaci</w:t>
            </w:r>
            <w:r w:rsidR="00D91994">
              <w:rPr>
                <w:rFonts w:ascii="Arial Narrow" w:hAnsi="Arial Narrow"/>
                <w:sz w:val="20"/>
                <w:szCs w:val="20"/>
              </w:rPr>
              <w:t>ma od strane D</w:t>
            </w:r>
            <w:r w:rsidR="005A3917">
              <w:rPr>
                <w:rFonts w:ascii="Arial Narrow" w:hAnsi="Arial Narrow"/>
                <w:sz w:val="20"/>
                <w:szCs w:val="20"/>
              </w:rPr>
              <w:t>avatelje usluge</w:t>
            </w:r>
            <w:r w:rsidR="00B501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1994">
              <w:rPr>
                <w:rFonts w:ascii="Arial Narrow" w:hAnsi="Arial Narrow"/>
                <w:sz w:val="20"/>
                <w:szCs w:val="20"/>
              </w:rPr>
              <w:t xml:space="preserve">izračun prijedloga cijena OMJU je definiran prijedlogom ove Odluke. </w:t>
            </w:r>
          </w:p>
          <w:p w:rsidR="00722AA5" w:rsidRDefault="005A3917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 Narrow" w:hAnsi="Arial Narrow"/>
                <w:sz w:val="20"/>
                <w:szCs w:val="20"/>
              </w:rPr>
              <w:t>Prijedlog cijene</w:t>
            </w:r>
            <w:r w:rsidR="0003287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određen je na način da zbroj korisnika pojedine kategorije pomnožen s </w:t>
            </w:r>
            <w:r w:rsidR="00032878">
              <w:rPr>
                <w:rFonts w:ascii="Arial Narrow" w:hAnsi="Arial Narrow"/>
                <w:sz w:val="20"/>
                <w:szCs w:val="20"/>
              </w:rPr>
              <w:t xml:space="preserve">predloženim </w:t>
            </w:r>
            <w:r>
              <w:rPr>
                <w:rFonts w:ascii="Arial Narrow" w:hAnsi="Arial Narrow"/>
                <w:sz w:val="20"/>
                <w:szCs w:val="20"/>
              </w:rPr>
              <w:t xml:space="preserve">iznosom cijene pojedine kategorije daje iznos koji namiruje troškove </w:t>
            </w:r>
            <w:r w:rsidR="00032878">
              <w:rPr>
                <w:rFonts w:ascii="Arial Narrow" w:hAnsi="Arial Narrow"/>
                <w:sz w:val="20"/>
                <w:szCs w:val="20"/>
              </w:rPr>
              <w:t>dostatne onima prikazanim u podacima Davatelja usluge.</w:t>
            </w: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39C2" w:rsidRDefault="000739C2" w:rsidP="005A3917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41D2C" w:rsidRDefault="000739C2" w:rsidP="00B41D2C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B41D2C">
              <w:rPr>
                <w:rFonts w:ascii="Arial Narrow" w:hAnsi="Arial Narrow"/>
                <w:sz w:val="20"/>
                <w:szCs w:val="20"/>
              </w:rPr>
              <w:t xml:space="preserve">U </w:t>
            </w:r>
            <w:r w:rsidR="00B41D2C" w:rsidRPr="00B41D2C">
              <w:rPr>
                <w:rFonts w:ascii="Arial Narrow" w:hAnsi="Arial Narrow"/>
                <w:sz w:val="20"/>
                <w:szCs w:val="20"/>
              </w:rPr>
              <w:t xml:space="preserve">članku 27.  pod pojmom </w:t>
            </w:r>
            <w:r w:rsidR="00D91994">
              <w:rPr>
                <w:rFonts w:ascii="Arial Narrow" w:hAnsi="Arial Narrow"/>
                <w:sz w:val="20"/>
                <w:szCs w:val="20"/>
              </w:rPr>
              <w:t xml:space="preserve">„ i </w:t>
            </w:r>
            <w:r w:rsidR="00B41D2C" w:rsidRPr="00B41D2C">
              <w:rPr>
                <w:rFonts w:ascii="Arial Narrow" w:hAnsi="Arial Narrow"/>
                <w:sz w:val="20"/>
                <w:szCs w:val="20"/>
              </w:rPr>
              <w:t>slično</w:t>
            </w:r>
            <w:r w:rsidR="00D91994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B41D2C" w:rsidRPr="00B41D2C">
              <w:rPr>
                <w:rFonts w:ascii="Arial Narrow" w:hAnsi="Arial Narrow"/>
                <w:sz w:val="20"/>
                <w:szCs w:val="20"/>
              </w:rPr>
              <w:t xml:space="preserve">podrazumijeva se </w:t>
            </w:r>
            <w:r w:rsidR="00B41D2C" w:rsidRPr="00B41D2C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>događaj ili određeno stanje koje se nije moglo predvidjeti</w:t>
            </w:r>
            <w:r w:rsidR="00B41D2C" w:rsidRPr="00B41D2C">
              <w:rPr>
                <w:rFonts w:ascii="Arial Narrow" w:hAnsi="Arial Narrow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00B41D2C" w:rsidRPr="00B41D2C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>te zbog kojeg je došlo do izmjene vremena preuzimanja otpada.</w:t>
            </w:r>
          </w:p>
          <w:p w:rsidR="00536BE8" w:rsidRDefault="00536BE8" w:rsidP="00B41D2C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</w:p>
          <w:p w:rsidR="000739C2" w:rsidRDefault="000739C2" w:rsidP="00DD7680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</w:p>
          <w:p w:rsidR="000739C2" w:rsidRDefault="000739C2" w:rsidP="00DD7680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</w:p>
          <w:p w:rsidR="000739C2" w:rsidRDefault="000739C2" w:rsidP="00DD7680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</w:p>
          <w:p w:rsidR="000739C2" w:rsidRDefault="000739C2" w:rsidP="00DD7680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</w:p>
          <w:p w:rsidR="000739C2" w:rsidRDefault="000739C2" w:rsidP="00DD7680">
            <w:pPr>
              <w:pStyle w:val="Bezproreda"/>
              <w:jc w:val="both"/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</w:pPr>
          </w:p>
          <w:p w:rsidR="00B41D2C" w:rsidRPr="00B41D2C" w:rsidRDefault="00536BE8" w:rsidP="00D91994">
            <w:pPr>
              <w:pStyle w:val="Bezprored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>5.</w:t>
            </w:r>
            <w:r w:rsidR="00B41D2C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 xml:space="preserve">Naravno da je smisao </w:t>
            </w:r>
            <w:proofErr w:type="spellStart"/>
            <w:r w:rsidR="00B41D2C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>reciklažnog</w:t>
            </w:r>
            <w:proofErr w:type="spellEnd"/>
            <w:r w:rsidR="00B41D2C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DD7680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>dvorišta da ga što više  korisnika i koristi. No, ne  vidimo niti jedan sporan moment oko vođenja</w:t>
            </w:r>
            <w:r w:rsidR="00D91994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DD7680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 xml:space="preserve"> evidencija tko je i kad koristio </w:t>
            </w:r>
            <w:proofErr w:type="spellStart"/>
            <w:r w:rsidR="00DD7680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>reciklažno</w:t>
            </w:r>
            <w:proofErr w:type="spellEnd"/>
            <w:r w:rsidR="00DD7680">
              <w:rPr>
                <w:rFonts w:ascii="Arial Narrow" w:hAnsi="Arial Narrow"/>
                <w:iCs/>
                <w:sz w:val="20"/>
                <w:szCs w:val="20"/>
                <w:shd w:val="clear" w:color="auto" w:fill="FFFFFF"/>
              </w:rPr>
              <w:t xml:space="preserve"> dvorište. Dapače!!</w:t>
            </w:r>
          </w:p>
        </w:tc>
      </w:tr>
    </w:tbl>
    <w:p w:rsidR="005C66F3" w:rsidRPr="00C30E67" w:rsidRDefault="005C66F3" w:rsidP="00C30E67">
      <w:pPr>
        <w:jc w:val="both"/>
        <w:rPr>
          <w:rFonts w:ascii="Arial Narrow" w:hAnsi="Arial Narrow"/>
          <w:sz w:val="20"/>
          <w:szCs w:val="20"/>
        </w:rPr>
      </w:pPr>
    </w:p>
    <w:p w:rsidR="00C30E67" w:rsidRPr="00C30E67" w:rsidRDefault="00C30E67" w:rsidP="00C30E67">
      <w:pPr>
        <w:jc w:val="both"/>
        <w:rPr>
          <w:rFonts w:ascii="Arial Narrow" w:hAnsi="Arial Narrow"/>
          <w:sz w:val="20"/>
          <w:szCs w:val="20"/>
        </w:rPr>
      </w:pPr>
    </w:p>
    <w:sectPr w:rsidR="00C30E67" w:rsidRPr="00C30E67" w:rsidSect="00160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044"/>
    <w:multiLevelType w:val="hybridMultilevel"/>
    <w:tmpl w:val="59825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D90"/>
    <w:multiLevelType w:val="hybridMultilevel"/>
    <w:tmpl w:val="DF7641AE"/>
    <w:lvl w:ilvl="0" w:tplc="EB5A79B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44F6"/>
    <w:multiLevelType w:val="multilevel"/>
    <w:tmpl w:val="CB1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22"/>
    <w:rsid w:val="00032878"/>
    <w:rsid w:val="00053500"/>
    <w:rsid w:val="00061839"/>
    <w:rsid w:val="000739C2"/>
    <w:rsid w:val="00160D22"/>
    <w:rsid w:val="00341D18"/>
    <w:rsid w:val="00536BE8"/>
    <w:rsid w:val="00586B8A"/>
    <w:rsid w:val="005A3917"/>
    <w:rsid w:val="005C66F3"/>
    <w:rsid w:val="005D12F6"/>
    <w:rsid w:val="00615004"/>
    <w:rsid w:val="00630473"/>
    <w:rsid w:val="006C5F55"/>
    <w:rsid w:val="006E5D80"/>
    <w:rsid w:val="006E62D2"/>
    <w:rsid w:val="006F5C0D"/>
    <w:rsid w:val="00701D75"/>
    <w:rsid w:val="00722AA5"/>
    <w:rsid w:val="00732B84"/>
    <w:rsid w:val="00737858"/>
    <w:rsid w:val="0074016C"/>
    <w:rsid w:val="008F26EA"/>
    <w:rsid w:val="009977C4"/>
    <w:rsid w:val="00A338AF"/>
    <w:rsid w:val="00A54ECD"/>
    <w:rsid w:val="00B41D2C"/>
    <w:rsid w:val="00B5018A"/>
    <w:rsid w:val="00BE6E65"/>
    <w:rsid w:val="00C30E67"/>
    <w:rsid w:val="00C83EBD"/>
    <w:rsid w:val="00CC6C6F"/>
    <w:rsid w:val="00D01C28"/>
    <w:rsid w:val="00D91994"/>
    <w:rsid w:val="00DD7680"/>
    <w:rsid w:val="00F83D80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20B4-AD4F-4291-93EF-03F3EDFF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0D2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338A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9</cp:revision>
  <cp:lastPrinted>2022-12-19T12:59:00Z</cp:lastPrinted>
  <dcterms:created xsi:type="dcterms:W3CDTF">2022-12-19T07:25:00Z</dcterms:created>
  <dcterms:modified xsi:type="dcterms:W3CDTF">2022-12-20T10:34:00Z</dcterms:modified>
</cp:coreProperties>
</file>